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6CB" w:rsidRDefault="00F626CB" w:rsidP="00F626CB">
      <w:pPr>
        <w:suppressLineNumbers/>
        <w:rPr>
          <w:rFonts w:hint="cs"/>
          <w:sz w:val="26"/>
          <w:szCs w:val="26"/>
          <w:rtl/>
        </w:rPr>
      </w:pPr>
      <w:bookmarkStart w:id="0" w:name="_GoBack"/>
      <w:bookmarkEnd w:id="0"/>
    </w:p>
    <w:tbl>
      <w:tblPr>
        <w:tblStyle w:val="a7"/>
        <w:bidiVisual/>
        <w:tblW w:w="96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6"/>
        <w:gridCol w:w="6080"/>
        <w:gridCol w:w="594"/>
      </w:tblGrid>
      <w:tr w:rsidR="00F626CB" w:rsidTr="00F626CB">
        <w:trPr>
          <w:jc w:val="center"/>
        </w:trPr>
        <w:tc>
          <w:tcPr>
            <w:tcW w:w="2956" w:type="dxa"/>
            <w:hideMark/>
          </w:tcPr>
          <w:p w:rsidR="00F626CB" w:rsidRDefault="00F626CB">
            <w:pPr>
              <w:jc w:val="both"/>
              <w:rPr>
                <w:rFonts w:ascii="Arial (W1)" w:hAnsi="Arial (W1)"/>
                <w:b/>
                <w:bCs/>
                <w:sz w:val="28"/>
                <w:szCs w:val="28"/>
              </w:rPr>
            </w:pPr>
            <w:r>
              <w:rPr>
                <w:b/>
                <w:bCs/>
                <w:sz w:val="28"/>
                <w:rtl/>
              </w:rPr>
              <w:t xml:space="preserve">לפני </w:t>
            </w:r>
          </w:p>
        </w:tc>
        <w:tc>
          <w:tcPr>
            <w:tcW w:w="6674" w:type="dxa"/>
            <w:gridSpan w:val="2"/>
            <w:hideMark/>
          </w:tcPr>
          <w:p w:rsidR="00F626CB" w:rsidRDefault="00F626CB">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F626CB" w:rsidTr="00F626CB">
        <w:trPr>
          <w:jc w:val="center"/>
        </w:trPr>
        <w:tc>
          <w:tcPr>
            <w:tcW w:w="9036" w:type="dxa"/>
            <w:gridSpan w:val="2"/>
            <w:hideMark/>
          </w:tcPr>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F626CB">
              <w:trPr>
                <w:jc w:val="center"/>
              </w:trPr>
              <w:tc>
                <w:tcPr>
                  <w:tcW w:w="3249" w:type="dxa"/>
                </w:tcPr>
                <w:p w:rsidR="00F626CB" w:rsidRDefault="00F626CB">
                  <w:pPr>
                    <w:suppressLineNumbers/>
                    <w:rPr>
                      <w:rFonts w:ascii="Arial" w:hAnsi="Arial"/>
                      <w:b/>
                      <w:bCs/>
                      <w:noProof w:val="0"/>
                      <w:sz w:val="26"/>
                      <w:szCs w:val="26"/>
                      <w:rtl/>
                    </w:rPr>
                  </w:pPr>
                </w:p>
                <w:sdt>
                  <w:sdtPr>
                    <w:rPr>
                      <w:rtl/>
                    </w:rPr>
                    <w:alias w:val="1180"/>
                    <w:tag w:val="1180"/>
                    <w:id w:val="637458750"/>
                    <w:text w:multiLine="1"/>
                  </w:sdtPr>
                  <w:sdtEndPr/>
                  <w:sdtContent>
                    <w:p w:rsidR="00F626CB" w:rsidRDefault="00F626CB">
                      <w:pPr>
                        <w:suppressLineNumbers/>
                        <w:rPr>
                          <w:rFonts w:ascii="Arial" w:hAnsi="Arial"/>
                          <w:b/>
                          <w:bCs/>
                          <w:noProof w:val="0"/>
                          <w:sz w:val="26"/>
                          <w:szCs w:val="26"/>
                        </w:rPr>
                      </w:pPr>
                      <w:r>
                        <w:rPr>
                          <w:rFonts w:ascii="Arial" w:hAnsi="Arial"/>
                          <w:b/>
                          <w:bCs/>
                          <w:noProof w:val="0"/>
                          <w:sz w:val="26"/>
                          <w:szCs w:val="26"/>
                          <w:rtl/>
                        </w:rPr>
                        <w:t>התובעים</w:t>
                      </w:r>
                    </w:p>
                  </w:sdtContent>
                </w:sdt>
              </w:tc>
              <w:tc>
                <w:tcPr>
                  <w:tcW w:w="5571" w:type="dxa"/>
                </w:tcPr>
                <w:p w:rsidR="00F626CB" w:rsidRDefault="00F626CB">
                  <w:pPr>
                    <w:suppressLineNumbers/>
                    <w:rPr>
                      <w:rFonts w:ascii="Arial" w:hAnsi="Arial"/>
                      <w:b/>
                      <w:bCs/>
                      <w:noProof w:val="0"/>
                      <w:sz w:val="26"/>
                      <w:szCs w:val="26"/>
                    </w:rPr>
                  </w:pPr>
                </w:p>
                <w:p w:rsidR="00F626CB" w:rsidRDefault="001547A8" w:rsidP="006D1BD0">
                  <w:pPr>
                    <w:suppressLineNumbers/>
                    <w:rPr>
                      <w:b/>
                      <w:bCs/>
                      <w:noProof w:val="0"/>
                      <w:sz w:val="26"/>
                      <w:szCs w:val="26"/>
                      <w:rtl/>
                    </w:rPr>
                  </w:pPr>
                  <w:sdt>
                    <w:sdtPr>
                      <w:rPr>
                        <w:rFonts w:ascii="Arial" w:hAnsi="Arial"/>
                        <w:b/>
                        <w:bCs/>
                        <w:noProof w:val="0"/>
                        <w:sz w:val="26"/>
                        <w:szCs w:val="26"/>
                        <w:rtl/>
                      </w:rPr>
                      <w:alias w:val="1462"/>
                      <w:tag w:val="1462"/>
                      <w:id w:val="-2139489462"/>
                      <w:text w:multiLine="1"/>
                    </w:sdtPr>
                    <w:sdtEndPr/>
                    <w:sdtContent>
                      <w:r w:rsidR="00F626CB">
                        <w:rPr>
                          <w:rFonts w:ascii="Arial" w:hAnsi="Arial"/>
                          <w:b/>
                          <w:bCs/>
                          <w:noProof w:val="0"/>
                          <w:sz w:val="26"/>
                          <w:szCs w:val="26"/>
                          <w:rtl/>
                        </w:rPr>
                        <w:t>1</w:t>
                      </w:r>
                    </w:sdtContent>
                  </w:sdt>
                  <w:r w:rsidR="00F626CB">
                    <w:rPr>
                      <w:rFonts w:ascii="Arial" w:hAnsi="Arial"/>
                      <w:b/>
                      <w:bCs/>
                      <w:noProof w:val="0"/>
                      <w:sz w:val="26"/>
                      <w:szCs w:val="26"/>
                      <w:rtl/>
                    </w:rPr>
                    <w:t xml:space="preserve">. </w:t>
                  </w:r>
                  <w:sdt>
                    <w:sdtPr>
                      <w:rPr>
                        <w:rFonts w:ascii="Arial" w:hAnsi="Arial"/>
                        <w:b/>
                        <w:bCs/>
                        <w:noProof w:val="0"/>
                        <w:sz w:val="26"/>
                        <w:szCs w:val="26"/>
                        <w:rtl/>
                      </w:rPr>
                      <w:alias w:val="1478"/>
                      <w:tag w:val="1478"/>
                      <w:id w:val="-2076122985"/>
                      <w:text w:multiLine="1"/>
                    </w:sdtPr>
                    <w:sdtEndPr/>
                    <w:sdtContent>
                      <w:r w:rsidR="006D1BD0">
                        <w:rPr>
                          <w:rFonts w:ascii="Arial" w:hAnsi="Arial"/>
                          <w:b/>
                          <w:bCs/>
                          <w:noProof w:val="0"/>
                          <w:sz w:val="26"/>
                          <w:szCs w:val="26"/>
                          <w:rtl/>
                        </w:rPr>
                        <w:t>א</w:t>
                      </w:r>
                      <w:r w:rsidR="006D1BD0">
                        <w:rPr>
                          <w:rFonts w:ascii="Arial" w:hAnsi="Arial" w:hint="cs"/>
                          <w:b/>
                          <w:bCs/>
                          <w:noProof w:val="0"/>
                          <w:sz w:val="26"/>
                          <w:szCs w:val="26"/>
                          <w:rtl/>
                        </w:rPr>
                        <w:t>.א.</w:t>
                      </w:r>
                    </w:sdtContent>
                  </w:sdt>
                  <w:r w:rsidR="00F626CB">
                    <w:rPr>
                      <w:rFonts w:ascii="Arial" w:hAnsi="Arial"/>
                      <w:b/>
                      <w:bCs/>
                      <w:noProof w:val="0"/>
                      <w:sz w:val="26"/>
                      <w:szCs w:val="26"/>
                      <w:rtl/>
                    </w:rPr>
                    <w:t xml:space="preserve"> </w:t>
                  </w:r>
                  <w:sdt>
                    <w:sdtPr>
                      <w:rPr>
                        <w:rFonts w:ascii="Arial" w:hAnsi="Arial"/>
                        <w:b/>
                        <w:bCs/>
                        <w:noProof w:val="0"/>
                        <w:sz w:val="26"/>
                        <w:szCs w:val="26"/>
                        <w:rtl/>
                      </w:rPr>
                      <w:alias w:val="2315"/>
                      <w:tag w:val="2315"/>
                      <w:id w:val="185342525"/>
                      <w:placeholder>
                        <w:docPart w:val="6ECA1615EC604081BA2DD332206E1D96"/>
                      </w:placeholder>
                      <w:text w:multiLine="1"/>
                    </w:sdtPr>
                    <w:sdtEndPr/>
                    <w:sdtContent>
                      <w:r w:rsidR="00F626CB">
                        <w:rPr>
                          <w:rFonts w:ascii="Arial" w:hAnsi="Arial"/>
                          <w:b/>
                          <w:bCs/>
                          <w:noProof w:val="0"/>
                          <w:sz w:val="26"/>
                          <w:szCs w:val="26"/>
                          <w:rtl/>
                        </w:rPr>
                        <w:t>ת"ז</w:t>
                      </w:r>
                    </w:sdtContent>
                  </w:sdt>
                  <w:r w:rsidR="00F626CB">
                    <w:rPr>
                      <w:rFonts w:ascii="Arial" w:hAnsi="Arial"/>
                      <w:b/>
                      <w:bCs/>
                      <w:noProof w:val="0"/>
                      <w:sz w:val="26"/>
                      <w:szCs w:val="26"/>
                      <w:rtl/>
                    </w:rPr>
                    <w:t xml:space="preserve">  </w:t>
                  </w:r>
                  <w:r w:rsidR="006D1BD0">
                    <w:rPr>
                      <w:rFonts w:hint="cs"/>
                      <w:b/>
                      <w:bCs/>
                      <w:noProof w:val="0"/>
                      <w:sz w:val="26"/>
                      <w:szCs w:val="26"/>
                    </w:rPr>
                    <w:t>XXX</w:t>
                  </w:r>
                </w:p>
                <w:p w:rsidR="00F626CB" w:rsidRDefault="001547A8" w:rsidP="006D1BD0">
                  <w:pPr>
                    <w:suppressLineNumbers/>
                    <w:rPr>
                      <w:rFonts w:ascii="Arial" w:hAnsi="Arial"/>
                      <w:b/>
                      <w:bCs/>
                      <w:noProof w:val="0"/>
                      <w:sz w:val="26"/>
                      <w:szCs w:val="26"/>
                      <w:rtl/>
                    </w:rPr>
                  </w:pPr>
                  <w:sdt>
                    <w:sdtPr>
                      <w:rPr>
                        <w:rFonts w:ascii="Arial" w:hAnsi="Arial"/>
                        <w:b/>
                        <w:bCs/>
                        <w:noProof w:val="0"/>
                        <w:sz w:val="26"/>
                        <w:szCs w:val="26"/>
                        <w:rtl/>
                      </w:rPr>
                      <w:alias w:val="1462"/>
                      <w:tag w:val="1462"/>
                      <w:id w:val="-918174698"/>
                      <w:text w:multiLine="1"/>
                    </w:sdtPr>
                    <w:sdtEndPr/>
                    <w:sdtContent>
                      <w:r w:rsidR="00F626CB">
                        <w:rPr>
                          <w:rFonts w:ascii="Arial" w:hAnsi="Arial"/>
                          <w:b/>
                          <w:bCs/>
                          <w:noProof w:val="0"/>
                          <w:sz w:val="26"/>
                          <w:szCs w:val="26"/>
                          <w:rtl/>
                        </w:rPr>
                        <w:t>2</w:t>
                      </w:r>
                    </w:sdtContent>
                  </w:sdt>
                  <w:r w:rsidR="00F626CB">
                    <w:rPr>
                      <w:rFonts w:ascii="Arial" w:hAnsi="Arial"/>
                      <w:b/>
                      <w:bCs/>
                      <w:noProof w:val="0"/>
                      <w:sz w:val="26"/>
                      <w:szCs w:val="26"/>
                      <w:rtl/>
                    </w:rPr>
                    <w:t xml:space="preserve">. </w:t>
                  </w:r>
                  <w:sdt>
                    <w:sdtPr>
                      <w:rPr>
                        <w:rFonts w:ascii="Arial" w:hAnsi="Arial"/>
                        <w:b/>
                        <w:bCs/>
                        <w:noProof w:val="0"/>
                        <w:sz w:val="26"/>
                        <w:szCs w:val="26"/>
                        <w:rtl/>
                      </w:rPr>
                      <w:alias w:val="1478"/>
                      <w:tag w:val="1478"/>
                      <w:id w:val="-2011446949"/>
                      <w:text w:multiLine="1"/>
                    </w:sdtPr>
                    <w:sdtEndPr/>
                    <w:sdtContent>
                      <w:r w:rsidR="006D1BD0">
                        <w:rPr>
                          <w:rFonts w:ascii="Arial" w:hAnsi="Arial"/>
                          <w:b/>
                          <w:bCs/>
                          <w:noProof w:val="0"/>
                          <w:sz w:val="26"/>
                          <w:szCs w:val="26"/>
                          <w:rtl/>
                        </w:rPr>
                        <w:t>מ</w:t>
                      </w:r>
                      <w:r w:rsidR="006D1BD0">
                        <w:rPr>
                          <w:rFonts w:ascii="Arial" w:hAnsi="Arial" w:hint="cs"/>
                          <w:b/>
                          <w:bCs/>
                          <w:noProof w:val="0"/>
                          <w:sz w:val="26"/>
                          <w:szCs w:val="26"/>
                          <w:rtl/>
                        </w:rPr>
                        <w:t>.מ.</w:t>
                      </w:r>
                    </w:sdtContent>
                  </w:sdt>
                  <w:r w:rsidR="00F626CB">
                    <w:rPr>
                      <w:rFonts w:ascii="Arial" w:hAnsi="Arial"/>
                      <w:b/>
                      <w:bCs/>
                      <w:noProof w:val="0"/>
                      <w:sz w:val="26"/>
                      <w:szCs w:val="26"/>
                      <w:rtl/>
                    </w:rPr>
                    <w:t xml:space="preserve"> </w:t>
                  </w:r>
                  <w:sdt>
                    <w:sdtPr>
                      <w:rPr>
                        <w:rFonts w:ascii="Arial" w:hAnsi="Arial"/>
                        <w:b/>
                        <w:bCs/>
                        <w:noProof w:val="0"/>
                        <w:sz w:val="26"/>
                        <w:szCs w:val="26"/>
                        <w:rtl/>
                      </w:rPr>
                      <w:alias w:val="2315"/>
                      <w:tag w:val="2315"/>
                      <w:id w:val="599376678"/>
                      <w:placeholder>
                        <w:docPart w:val="6ECA1615EC604081BA2DD332206E1D96"/>
                      </w:placeholder>
                      <w:text w:multiLine="1"/>
                    </w:sdtPr>
                    <w:sdtEndPr/>
                    <w:sdtContent>
                      <w:r w:rsidR="00F626CB">
                        <w:rPr>
                          <w:rFonts w:ascii="Arial" w:hAnsi="Arial"/>
                          <w:b/>
                          <w:bCs/>
                          <w:noProof w:val="0"/>
                          <w:sz w:val="26"/>
                          <w:szCs w:val="26"/>
                          <w:rtl/>
                        </w:rPr>
                        <w:t>דרכון</w:t>
                      </w:r>
                    </w:sdtContent>
                  </w:sdt>
                  <w:r w:rsidR="00F626CB">
                    <w:rPr>
                      <w:rFonts w:ascii="Arial" w:hAnsi="Arial"/>
                      <w:b/>
                      <w:bCs/>
                      <w:noProof w:val="0"/>
                      <w:sz w:val="26"/>
                      <w:szCs w:val="26"/>
                      <w:rtl/>
                    </w:rPr>
                    <w:t xml:space="preserve">  </w:t>
                  </w:r>
                  <w:r w:rsidR="006D1BD0">
                    <w:rPr>
                      <w:rFonts w:ascii="Arial" w:hAnsi="Arial" w:hint="cs"/>
                      <w:b/>
                      <w:bCs/>
                      <w:noProof w:val="0"/>
                      <w:sz w:val="26"/>
                      <w:szCs w:val="26"/>
                    </w:rPr>
                    <w:t>XXX</w:t>
                  </w:r>
                </w:p>
                <w:p w:rsidR="00F626CB" w:rsidRDefault="00F626CB">
                  <w:pPr>
                    <w:suppressLineNumbers/>
                    <w:rPr>
                      <w:b/>
                      <w:bCs/>
                      <w:noProof w:val="0"/>
                      <w:sz w:val="26"/>
                      <w:szCs w:val="26"/>
                    </w:rPr>
                  </w:pPr>
                  <w:r>
                    <w:rPr>
                      <w:b/>
                      <w:bCs/>
                      <w:noProof w:val="0"/>
                      <w:sz w:val="26"/>
                      <w:szCs w:val="26"/>
                      <w:rtl/>
                    </w:rPr>
                    <w:t>ע"י ב"כ עו"ד אלכסנדר שמרלינג</w:t>
                  </w:r>
                </w:p>
              </w:tc>
            </w:tr>
            <w:tr w:rsidR="00F626CB">
              <w:trPr>
                <w:jc w:val="center"/>
              </w:trPr>
              <w:tc>
                <w:tcPr>
                  <w:tcW w:w="8820" w:type="dxa"/>
                  <w:gridSpan w:val="2"/>
                </w:tcPr>
                <w:p w:rsidR="00F626CB" w:rsidRDefault="00F626CB">
                  <w:pPr>
                    <w:suppressLineNumbers/>
                    <w:rPr>
                      <w:rFonts w:ascii="Arial" w:hAnsi="Arial"/>
                      <w:b/>
                      <w:bCs/>
                      <w:noProof w:val="0"/>
                      <w:sz w:val="26"/>
                      <w:szCs w:val="26"/>
                      <w:rtl/>
                    </w:rPr>
                  </w:pPr>
                </w:p>
                <w:p w:rsidR="00F626CB" w:rsidRDefault="00F626CB">
                  <w:pPr>
                    <w:suppressLineNumbers/>
                    <w:jc w:val="center"/>
                    <w:rPr>
                      <w:rFonts w:ascii="Arial" w:hAnsi="Arial"/>
                      <w:b/>
                      <w:bCs/>
                      <w:noProof w:val="0"/>
                      <w:sz w:val="26"/>
                      <w:szCs w:val="26"/>
                    </w:rPr>
                  </w:pPr>
                  <w:r>
                    <w:rPr>
                      <w:rFonts w:ascii="Arial" w:hAnsi="Arial"/>
                      <w:b/>
                      <w:bCs/>
                      <w:noProof w:val="0"/>
                      <w:sz w:val="26"/>
                      <w:szCs w:val="26"/>
                      <w:rtl/>
                    </w:rPr>
                    <w:t>נגד</w:t>
                  </w:r>
                </w:p>
                <w:p w:rsidR="00F626CB" w:rsidRDefault="00F626CB">
                  <w:pPr>
                    <w:suppressLineNumbers/>
                    <w:rPr>
                      <w:rFonts w:ascii="Arial" w:hAnsi="Arial"/>
                      <w:b/>
                      <w:bCs/>
                      <w:noProof w:val="0"/>
                      <w:sz w:val="26"/>
                      <w:szCs w:val="26"/>
                      <w:rtl/>
                    </w:rPr>
                  </w:pPr>
                </w:p>
              </w:tc>
            </w:tr>
            <w:tr w:rsidR="00F626CB">
              <w:trPr>
                <w:jc w:val="center"/>
              </w:trPr>
              <w:tc>
                <w:tcPr>
                  <w:tcW w:w="3249" w:type="dxa"/>
                  <w:hideMark/>
                </w:tcPr>
                <w:p w:rsidR="00F626CB" w:rsidRDefault="001547A8">
                  <w:pPr>
                    <w:suppressLineNumbers/>
                    <w:rPr>
                      <w:rFonts w:ascii="Arial" w:hAnsi="Arial"/>
                      <w:b/>
                      <w:bCs/>
                      <w:noProof w:val="0"/>
                      <w:sz w:val="26"/>
                      <w:szCs w:val="26"/>
                      <w:rtl/>
                    </w:rPr>
                  </w:pPr>
                  <w:sdt>
                    <w:sdtPr>
                      <w:rPr>
                        <w:rtl/>
                      </w:rPr>
                      <w:alias w:val="1184"/>
                      <w:tag w:val="1184"/>
                      <w:id w:val="-340621022"/>
                      <w:text w:multiLine="1"/>
                    </w:sdtPr>
                    <w:sdtEndPr/>
                    <w:sdtContent>
                      <w:r w:rsidR="00F626CB">
                        <w:rPr>
                          <w:rFonts w:ascii="Arial" w:hAnsi="Arial"/>
                          <w:b/>
                          <w:bCs/>
                          <w:noProof w:val="0"/>
                          <w:sz w:val="26"/>
                          <w:szCs w:val="26"/>
                          <w:rtl/>
                        </w:rPr>
                        <w:t>הנתבעים</w:t>
                      </w:r>
                    </w:sdtContent>
                  </w:sdt>
                </w:p>
              </w:tc>
              <w:tc>
                <w:tcPr>
                  <w:tcW w:w="5571" w:type="dxa"/>
                </w:tcPr>
                <w:p w:rsidR="00F626CB" w:rsidRDefault="00F626CB">
                  <w:pPr>
                    <w:suppressLineNumbers/>
                    <w:rPr>
                      <w:b/>
                      <w:bCs/>
                      <w:noProof w:val="0"/>
                      <w:sz w:val="26"/>
                      <w:szCs w:val="26"/>
                    </w:rPr>
                  </w:pPr>
                </w:p>
                <w:p w:rsidR="00F626CB" w:rsidRDefault="001547A8">
                  <w:pPr>
                    <w:suppressLineNumbers/>
                  </w:pPr>
                  <w:sdt>
                    <w:sdtPr>
                      <w:rPr>
                        <w:rtl/>
                      </w:rPr>
                      <w:alias w:val="1571"/>
                      <w:tag w:val="1571"/>
                      <w:id w:val="1028836282"/>
                      <w:text w:multiLine="1"/>
                    </w:sdtPr>
                    <w:sdtEndPr/>
                    <w:sdtContent>
                      <w:r w:rsidR="00F626CB">
                        <w:rPr>
                          <w:rFonts w:ascii="Arial" w:hAnsi="Arial"/>
                          <w:b/>
                          <w:bCs/>
                          <w:noProof w:val="0"/>
                          <w:sz w:val="26"/>
                          <w:szCs w:val="26"/>
                          <w:rtl/>
                        </w:rPr>
                        <w:t>1</w:t>
                      </w:r>
                    </w:sdtContent>
                  </w:sdt>
                  <w:r w:rsidR="00F626CB">
                    <w:rPr>
                      <w:rFonts w:ascii="Arial" w:hAnsi="Arial"/>
                      <w:b/>
                      <w:bCs/>
                      <w:noProof w:val="0"/>
                      <w:sz w:val="26"/>
                      <w:szCs w:val="26"/>
                      <w:rtl/>
                    </w:rPr>
                    <w:t xml:space="preserve">. </w:t>
                  </w:r>
                  <w:sdt>
                    <w:sdtPr>
                      <w:rPr>
                        <w:rtl/>
                      </w:rPr>
                      <w:alias w:val="1486"/>
                      <w:tag w:val="1486"/>
                      <w:id w:val="-309872140"/>
                      <w:text w:multiLine="1"/>
                    </w:sdtPr>
                    <w:sdtEndPr/>
                    <w:sdtContent>
                      <w:r w:rsidR="00F626CB">
                        <w:rPr>
                          <w:rFonts w:ascii="Arial" w:hAnsi="Arial"/>
                          <w:b/>
                          <w:bCs/>
                          <w:noProof w:val="0"/>
                          <w:sz w:val="26"/>
                          <w:szCs w:val="26"/>
                          <w:rtl/>
                        </w:rPr>
                        <w:t>ב"כ היועמ"ש – באמצעות פרקליטות מחוז דרום - אזרחי</w:t>
                      </w:r>
                    </w:sdtContent>
                  </w:sdt>
                  <w:r w:rsidR="00F626CB">
                    <w:rPr>
                      <w:rtl/>
                    </w:rPr>
                    <w:t xml:space="preserve"> </w:t>
                  </w:r>
                </w:p>
                <w:p w:rsidR="00F626CB" w:rsidRDefault="001547A8" w:rsidP="006D1BD0">
                  <w:pPr>
                    <w:suppressLineNumbers/>
                    <w:rPr>
                      <w:rFonts w:ascii="Arial" w:hAnsi="Arial"/>
                      <w:b/>
                      <w:bCs/>
                      <w:noProof w:val="0"/>
                      <w:sz w:val="26"/>
                      <w:szCs w:val="26"/>
                      <w:rtl/>
                    </w:rPr>
                  </w:pPr>
                  <w:sdt>
                    <w:sdtPr>
                      <w:rPr>
                        <w:rtl/>
                      </w:rPr>
                      <w:alias w:val="1571"/>
                      <w:tag w:val="1571"/>
                      <w:id w:val="754717056"/>
                      <w:text w:multiLine="1"/>
                    </w:sdtPr>
                    <w:sdtEndPr/>
                    <w:sdtContent>
                      <w:r w:rsidR="00F626CB">
                        <w:rPr>
                          <w:rFonts w:ascii="Arial" w:hAnsi="Arial"/>
                          <w:b/>
                          <w:bCs/>
                          <w:noProof w:val="0"/>
                          <w:sz w:val="26"/>
                          <w:szCs w:val="26"/>
                          <w:rtl/>
                        </w:rPr>
                        <w:t>2</w:t>
                      </w:r>
                    </w:sdtContent>
                  </w:sdt>
                  <w:r w:rsidR="00F626CB">
                    <w:rPr>
                      <w:rFonts w:ascii="Arial" w:hAnsi="Arial"/>
                      <w:b/>
                      <w:bCs/>
                      <w:noProof w:val="0"/>
                      <w:sz w:val="26"/>
                      <w:szCs w:val="26"/>
                      <w:rtl/>
                    </w:rPr>
                    <w:t xml:space="preserve">. </w:t>
                  </w:r>
                  <w:sdt>
                    <w:sdtPr>
                      <w:rPr>
                        <w:rtl/>
                      </w:rPr>
                      <w:alias w:val="1486"/>
                      <w:tag w:val="1486"/>
                      <w:id w:val="2052490912"/>
                      <w:text w:multiLine="1"/>
                    </w:sdtPr>
                    <w:sdtEndPr/>
                    <w:sdtContent>
                      <w:r w:rsidR="006D1BD0">
                        <w:rPr>
                          <w:rFonts w:ascii="Arial" w:hAnsi="Arial"/>
                          <w:b/>
                          <w:bCs/>
                          <w:noProof w:val="0"/>
                          <w:sz w:val="26"/>
                          <w:szCs w:val="26"/>
                          <w:rtl/>
                        </w:rPr>
                        <w:t>ל</w:t>
                      </w:r>
                      <w:r w:rsidR="006D1BD0">
                        <w:rPr>
                          <w:rFonts w:ascii="Arial" w:hAnsi="Arial" w:hint="cs"/>
                          <w:b/>
                          <w:bCs/>
                          <w:noProof w:val="0"/>
                          <w:sz w:val="26"/>
                          <w:szCs w:val="26"/>
                          <w:rtl/>
                        </w:rPr>
                        <w:t>.א.</w:t>
                      </w:r>
                    </w:sdtContent>
                  </w:sdt>
                  <w:r w:rsidR="00F626CB">
                    <w:rPr>
                      <w:rtl/>
                    </w:rPr>
                    <w:t xml:space="preserve"> </w:t>
                  </w:r>
                  <w:sdt>
                    <w:sdtPr>
                      <w:rPr>
                        <w:rFonts w:ascii="Arial" w:hAnsi="Arial"/>
                        <w:b/>
                        <w:bCs/>
                        <w:noProof w:val="0"/>
                        <w:sz w:val="26"/>
                        <w:szCs w:val="26"/>
                        <w:rtl/>
                      </w:rPr>
                      <w:alias w:val="2317"/>
                      <w:tag w:val="2317"/>
                      <w:id w:val="61917047"/>
                      <w:placeholder>
                        <w:docPart w:val="3E843EEF84E149F3AA0EEAD04F264B8F"/>
                      </w:placeholder>
                      <w:text w:multiLine="1"/>
                    </w:sdtPr>
                    <w:sdtEndPr/>
                    <w:sdtContent>
                      <w:r w:rsidR="00F626CB">
                        <w:rPr>
                          <w:rFonts w:ascii="Arial" w:hAnsi="Arial"/>
                          <w:b/>
                          <w:bCs/>
                          <w:noProof w:val="0"/>
                          <w:sz w:val="26"/>
                          <w:szCs w:val="26"/>
                          <w:rtl/>
                        </w:rPr>
                        <w:t>ת"ז</w:t>
                      </w:r>
                    </w:sdtContent>
                  </w:sdt>
                  <w:r w:rsidR="00F626CB">
                    <w:rPr>
                      <w:rFonts w:ascii="Arial" w:hAnsi="Arial"/>
                      <w:b/>
                      <w:bCs/>
                      <w:noProof w:val="0"/>
                      <w:sz w:val="26"/>
                      <w:szCs w:val="26"/>
                      <w:rtl/>
                    </w:rPr>
                    <w:t xml:space="preserve"> </w:t>
                  </w:r>
                  <w:r w:rsidR="006D1BD0">
                    <w:rPr>
                      <w:rFonts w:ascii="Arial" w:hAnsi="Arial" w:hint="cs"/>
                      <w:b/>
                      <w:bCs/>
                      <w:noProof w:val="0"/>
                      <w:sz w:val="26"/>
                      <w:szCs w:val="26"/>
                    </w:rPr>
                    <w:t>XXX</w:t>
                  </w:r>
                </w:p>
                <w:p w:rsidR="00F626CB" w:rsidRDefault="001547A8" w:rsidP="006D1BD0">
                  <w:pPr>
                    <w:suppressLineNumbers/>
                    <w:rPr>
                      <w:rFonts w:ascii="Arial" w:hAnsi="Arial"/>
                      <w:b/>
                      <w:bCs/>
                      <w:noProof w:val="0"/>
                      <w:sz w:val="26"/>
                      <w:szCs w:val="26"/>
                      <w:rtl/>
                    </w:rPr>
                  </w:pPr>
                  <w:sdt>
                    <w:sdtPr>
                      <w:rPr>
                        <w:rtl/>
                      </w:rPr>
                      <w:alias w:val="1571"/>
                      <w:tag w:val="1571"/>
                      <w:id w:val="824325714"/>
                      <w:text w:multiLine="1"/>
                    </w:sdtPr>
                    <w:sdtEndPr/>
                    <w:sdtContent>
                      <w:r w:rsidR="00F626CB">
                        <w:rPr>
                          <w:rFonts w:ascii="Arial" w:hAnsi="Arial"/>
                          <w:b/>
                          <w:bCs/>
                          <w:noProof w:val="0"/>
                          <w:sz w:val="26"/>
                          <w:szCs w:val="26"/>
                          <w:rtl/>
                        </w:rPr>
                        <w:t>3</w:t>
                      </w:r>
                    </w:sdtContent>
                  </w:sdt>
                  <w:r w:rsidR="00F626CB">
                    <w:rPr>
                      <w:rFonts w:ascii="Arial" w:hAnsi="Arial"/>
                      <w:b/>
                      <w:bCs/>
                      <w:noProof w:val="0"/>
                      <w:sz w:val="26"/>
                      <w:szCs w:val="26"/>
                      <w:rtl/>
                    </w:rPr>
                    <w:t xml:space="preserve">. </w:t>
                  </w:r>
                  <w:r w:rsidR="006D1BD0">
                    <w:rPr>
                      <w:rFonts w:ascii="Arial" w:hAnsi="Arial" w:hint="cs"/>
                      <w:b/>
                      <w:bCs/>
                      <w:noProof w:val="0"/>
                      <w:sz w:val="26"/>
                      <w:szCs w:val="26"/>
                      <w:rtl/>
                    </w:rPr>
                    <w:t>א.א.</w:t>
                  </w:r>
                </w:p>
                <w:p w:rsidR="00F626CB" w:rsidRDefault="001547A8">
                  <w:pPr>
                    <w:suppressLineNumbers/>
                    <w:rPr>
                      <w:rFonts w:ascii="Arial" w:hAnsi="Arial"/>
                      <w:b/>
                      <w:bCs/>
                      <w:noProof w:val="0"/>
                      <w:sz w:val="26"/>
                      <w:szCs w:val="26"/>
                      <w:rtl/>
                    </w:rPr>
                  </w:pPr>
                  <w:sdt>
                    <w:sdtPr>
                      <w:rPr>
                        <w:rtl/>
                      </w:rPr>
                      <w:alias w:val="1571"/>
                      <w:tag w:val="1571"/>
                      <w:id w:val="-3676406"/>
                      <w:text w:multiLine="1"/>
                    </w:sdtPr>
                    <w:sdtEndPr/>
                    <w:sdtContent>
                      <w:r w:rsidR="00F626CB">
                        <w:rPr>
                          <w:rFonts w:ascii="Arial" w:hAnsi="Arial"/>
                          <w:b/>
                          <w:bCs/>
                          <w:noProof w:val="0"/>
                          <w:sz w:val="26"/>
                          <w:szCs w:val="26"/>
                          <w:rtl/>
                        </w:rPr>
                        <w:t>4</w:t>
                      </w:r>
                    </w:sdtContent>
                  </w:sdt>
                  <w:r w:rsidR="00F626CB">
                    <w:rPr>
                      <w:rFonts w:ascii="Arial" w:hAnsi="Arial"/>
                      <w:b/>
                      <w:bCs/>
                      <w:noProof w:val="0"/>
                      <w:sz w:val="26"/>
                      <w:szCs w:val="26"/>
                      <w:rtl/>
                    </w:rPr>
                    <w:t xml:space="preserve">. </w:t>
                  </w:r>
                  <w:sdt>
                    <w:sdtPr>
                      <w:rPr>
                        <w:rtl/>
                      </w:rPr>
                      <w:alias w:val="1486"/>
                      <w:tag w:val="1486"/>
                      <w:id w:val="598613432"/>
                      <w:text w:multiLine="1"/>
                    </w:sdtPr>
                    <w:sdtEndPr/>
                    <w:sdtContent>
                      <w:r w:rsidR="006D1BD0">
                        <w:rPr>
                          <w:rFonts w:ascii="Arial" w:hAnsi="Arial"/>
                          <w:b/>
                          <w:bCs/>
                          <w:noProof w:val="0"/>
                          <w:sz w:val="26"/>
                          <w:szCs w:val="26"/>
                          <w:rtl/>
                        </w:rPr>
                        <w:t>א</w:t>
                      </w:r>
                      <w:r w:rsidR="006D1BD0">
                        <w:rPr>
                          <w:rFonts w:ascii="Arial" w:hAnsi="Arial" w:hint="cs"/>
                          <w:b/>
                          <w:bCs/>
                          <w:noProof w:val="0"/>
                          <w:sz w:val="26"/>
                          <w:szCs w:val="26"/>
                          <w:rtl/>
                        </w:rPr>
                        <w:t>.מ.</w:t>
                      </w:r>
                    </w:sdtContent>
                  </w:sdt>
                  <w:r w:rsidR="00F626CB">
                    <w:rPr>
                      <w:rtl/>
                    </w:rPr>
                    <w:t xml:space="preserve"> </w:t>
                  </w:r>
                </w:p>
              </w:tc>
            </w:tr>
            <w:tr w:rsidR="00F626CB">
              <w:trPr>
                <w:jc w:val="center"/>
              </w:trPr>
              <w:tc>
                <w:tcPr>
                  <w:tcW w:w="8820" w:type="dxa"/>
                  <w:gridSpan w:val="2"/>
                </w:tcPr>
                <w:p w:rsidR="00F626CB" w:rsidRDefault="00F626CB">
                  <w:pPr>
                    <w:suppressLineNumbers/>
                    <w:rPr>
                      <w:rtl/>
                    </w:rPr>
                  </w:pPr>
                </w:p>
                <w:p w:rsidR="00F626CB" w:rsidRDefault="00F626CB">
                  <w:pPr>
                    <w:suppressLineNumbers/>
                    <w:rPr>
                      <w:rtl/>
                    </w:rPr>
                  </w:pPr>
                </w:p>
                <w:p w:rsidR="00F626CB" w:rsidRDefault="00F626CB">
                  <w:pPr>
                    <w:suppressLineNumbers/>
                  </w:pPr>
                </w:p>
              </w:tc>
            </w:tr>
          </w:tbl>
          <w:p w:rsidR="00F626CB" w:rsidRDefault="00F626CB">
            <w:pPr>
              <w:rPr>
                <w:rFonts w:ascii="Arial (W1)" w:hAnsi="Arial (W1)"/>
                <w:b/>
                <w:bCs/>
                <w:noProof w:val="0"/>
                <w:sz w:val="28"/>
                <w:szCs w:val="28"/>
                <w:rtl/>
              </w:rPr>
            </w:pPr>
          </w:p>
        </w:tc>
        <w:tc>
          <w:tcPr>
            <w:tcW w:w="594" w:type="dxa"/>
          </w:tcPr>
          <w:p w:rsidR="00F626CB" w:rsidRDefault="00F626CB">
            <w:pPr>
              <w:rPr>
                <w:rFonts w:ascii="Arial (W1)" w:hAnsi="Arial (W1)"/>
                <w:b/>
                <w:bCs/>
                <w:noProof w:val="0"/>
                <w:sz w:val="28"/>
                <w:szCs w:val="28"/>
              </w:rPr>
            </w:pPr>
          </w:p>
        </w:tc>
      </w:tr>
    </w:tbl>
    <w:p w:rsidR="00F626CB" w:rsidRDefault="00F626CB" w:rsidP="00F626CB">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626CB" w:rsidTr="00F626CB">
        <w:trPr>
          <w:jc w:val="center"/>
        </w:trPr>
        <w:tc>
          <w:tcPr>
            <w:tcW w:w="8820" w:type="dxa"/>
            <w:hideMark/>
          </w:tcPr>
          <w:p w:rsidR="00F626CB" w:rsidRDefault="00F626C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F626CB" w:rsidRDefault="00F626CB" w:rsidP="00F626CB">
      <w:pPr>
        <w:spacing w:line="360" w:lineRule="auto"/>
        <w:jc w:val="both"/>
        <w:rPr>
          <w:rFonts w:ascii="Arial" w:hAnsi="Arial"/>
          <w:noProof w:val="0"/>
        </w:rPr>
      </w:pPr>
    </w:p>
    <w:p w:rsidR="00F626CB" w:rsidRDefault="00F626CB" w:rsidP="004F4A8A">
      <w:pPr>
        <w:spacing w:line="360" w:lineRule="auto"/>
        <w:jc w:val="both"/>
        <w:rPr>
          <w:rFonts w:ascii="David" w:hAnsi="David"/>
          <w:rtl/>
        </w:rPr>
      </w:pPr>
      <w:r>
        <w:rPr>
          <w:rFonts w:ascii="David" w:hAnsi="David"/>
          <w:rtl/>
        </w:rPr>
        <w:t xml:space="preserve">תובענה לבירור אבהותו של המנוח </w:t>
      </w:r>
      <w:r w:rsidR="004F4A8A">
        <w:rPr>
          <w:rFonts w:ascii="David" w:hAnsi="David"/>
          <w:rtl/>
        </w:rPr>
        <w:t>ס</w:t>
      </w:r>
      <w:r w:rsidR="004F4A8A">
        <w:rPr>
          <w:rFonts w:ascii="David" w:hAnsi="David" w:hint="cs"/>
          <w:rtl/>
        </w:rPr>
        <w:t>.א.</w:t>
      </w:r>
      <w:r>
        <w:rPr>
          <w:rFonts w:ascii="David" w:hAnsi="David"/>
          <w:rtl/>
        </w:rPr>
        <w:t xml:space="preserve"> ז"ל ת.ז.</w:t>
      </w:r>
      <w:r w:rsidR="004F4A8A">
        <w:rPr>
          <w:rFonts w:ascii="David" w:hAnsi="David" w:hint="cs"/>
          <w:rtl/>
        </w:rPr>
        <w:t xml:space="preserve"> </w:t>
      </w:r>
      <w:r w:rsidR="004F4A8A">
        <w:rPr>
          <w:rFonts w:ascii="David" w:hAnsi="David" w:hint="cs"/>
        </w:rPr>
        <w:t>XXX</w:t>
      </w:r>
      <w:r>
        <w:rPr>
          <w:rFonts w:ascii="David" w:hAnsi="David"/>
          <w:rtl/>
        </w:rPr>
        <w:t xml:space="preserve">  (להלן: </w:t>
      </w:r>
      <w:r w:rsidR="00A72A45">
        <w:rPr>
          <w:rFonts w:ascii="David" w:hAnsi="David"/>
          <w:b/>
          <w:bCs/>
          <w:rtl/>
        </w:rPr>
        <w:t>"ס</w:t>
      </w:r>
      <w:r w:rsidR="00A72A45">
        <w:rPr>
          <w:rFonts w:ascii="David" w:hAnsi="David" w:hint="cs"/>
          <w:b/>
          <w:bCs/>
          <w:rtl/>
        </w:rPr>
        <w:t>'</w:t>
      </w:r>
      <w:r>
        <w:rPr>
          <w:rFonts w:ascii="David" w:hAnsi="David"/>
          <w:b/>
          <w:bCs/>
          <w:rtl/>
        </w:rPr>
        <w:t xml:space="preserve"> המנוח"</w:t>
      </w:r>
      <w:r>
        <w:rPr>
          <w:rFonts w:ascii="David" w:hAnsi="David"/>
          <w:rtl/>
        </w:rPr>
        <w:t>) ביחס לתובע 2.</w:t>
      </w:r>
    </w:p>
    <w:p w:rsidR="00F626CB" w:rsidRDefault="00F626CB" w:rsidP="00F626CB">
      <w:pPr>
        <w:spacing w:line="360" w:lineRule="auto"/>
        <w:jc w:val="both"/>
        <w:rPr>
          <w:rFonts w:ascii="David" w:hAnsi="David"/>
          <w:rtl/>
        </w:rPr>
      </w:pPr>
    </w:p>
    <w:p w:rsidR="00F626CB" w:rsidRDefault="00F626CB" w:rsidP="00F626CB">
      <w:pPr>
        <w:spacing w:line="360" w:lineRule="auto"/>
        <w:jc w:val="both"/>
        <w:rPr>
          <w:rFonts w:ascii="David" w:hAnsi="David"/>
          <w:rtl/>
        </w:rPr>
      </w:pPr>
      <w:r>
        <w:rPr>
          <w:rFonts w:ascii="David" w:hAnsi="David"/>
          <w:rtl/>
        </w:rPr>
        <w:t xml:space="preserve">לשם נוחות הקריאה יכונו הצדדים בשמותיהם הפרטיים. </w:t>
      </w:r>
    </w:p>
    <w:p w:rsidR="00F626CB" w:rsidRDefault="00F626CB" w:rsidP="00F626CB">
      <w:pPr>
        <w:spacing w:line="360" w:lineRule="auto"/>
        <w:jc w:val="both"/>
        <w:rPr>
          <w:rFonts w:ascii="David" w:hAnsi="David"/>
          <w:b/>
          <w:bCs/>
          <w:rtl/>
        </w:rPr>
      </w:pPr>
    </w:p>
    <w:p w:rsidR="00F626CB" w:rsidRDefault="00F626CB" w:rsidP="00F626CB">
      <w:pPr>
        <w:spacing w:line="360" w:lineRule="auto"/>
        <w:ind w:firstLine="720"/>
        <w:jc w:val="both"/>
        <w:rPr>
          <w:rFonts w:ascii="David" w:hAnsi="David"/>
          <w:b/>
          <w:bCs/>
          <w:u w:val="single"/>
          <w:rtl/>
        </w:rPr>
      </w:pPr>
      <w:r>
        <w:rPr>
          <w:rFonts w:ascii="David" w:hAnsi="David"/>
          <w:b/>
          <w:bCs/>
          <w:u w:val="single"/>
          <w:rtl/>
        </w:rPr>
        <w:t>רקע כללי ודיוני</w:t>
      </w:r>
    </w:p>
    <w:p w:rsidR="00F626CB" w:rsidRDefault="004F4A8A" w:rsidP="00F626CB">
      <w:pPr>
        <w:pStyle w:val="ac"/>
        <w:numPr>
          <w:ilvl w:val="0"/>
          <w:numId w:val="6"/>
        </w:numPr>
        <w:spacing w:line="360" w:lineRule="auto"/>
        <w:jc w:val="both"/>
        <w:rPr>
          <w:rFonts w:ascii="David" w:hAnsi="David"/>
          <w:rtl/>
        </w:rPr>
      </w:pPr>
      <w:r>
        <w:rPr>
          <w:rFonts w:ascii="David" w:hAnsi="David"/>
          <w:rtl/>
        </w:rPr>
        <w:t>המנוח ס</w:t>
      </w:r>
      <w:r>
        <w:rPr>
          <w:rFonts w:ascii="David" w:hAnsi="David" w:hint="cs"/>
          <w:rtl/>
        </w:rPr>
        <w:t xml:space="preserve">' </w:t>
      </w:r>
      <w:r w:rsidR="00F626CB">
        <w:rPr>
          <w:rFonts w:ascii="David" w:hAnsi="David"/>
          <w:rtl/>
        </w:rPr>
        <w:t>ז"ל, אזרח ישראל אשר רשום ברישומי משרד הפנים כיהודי וגרוש,  נפטר ביום 27.2.11.</w:t>
      </w:r>
    </w:p>
    <w:p w:rsidR="00F626CB" w:rsidRDefault="00F626CB" w:rsidP="00F626CB">
      <w:pPr>
        <w:pStyle w:val="ac"/>
        <w:spacing w:line="360" w:lineRule="auto"/>
        <w:jc w:val="both"/>
        <w:rPr>
          <w:rFonts w:ascii="David" w:hAnsi="David"/>
        </w:rPr>
      </w:pPr>
    </w:p>
    <w:p w:rsidR="00F626CB" w:rsidRDefault="004F4A8A" w:rsidP="00F626CB">
      <w:pPr>
        <w:pStyle w:val="ac"/>
        <w:numPr>
          <w:ilvl w:val="0"/>
          <w:numId w:val="6"/>
        </w:numPr>
        <w:spacing w:line="360" w:lineRule="auto"/>
        <w:jc w:val="both"/>
        <w:rPr>
          <w:rFonts w:ascii="David" w:hAnsi="David"/>
        </w:rPr>
      </w:pPr>
      <w:r>
        <w:rPr>
          <w:rFonts w:ascii="David" w:hAnsi="David"/>
          <w:rtl/>
        </w:rPr>
        <w:t>מ</w:t>
      </w:r>
      <w:r>
        <w:rPr>
          <w:rFonts w:ascii="David" w:hAnsi="David" w:hint="cs"/>
          <w:rtl/>
        </w:rPr>
        <w:t>'</w:t>
      </w:r>
      <w:r w:rsidR="00F626CB">
        <w:rPr>
          <w:rFonts w:ascii="David" w:hAnsi="David"/>
          <w:rtl/>
        </w:rPr>
        <w:t xml:space="preserve"> הינו אזרח ותושב רוסיה, יתום מאם. אין חולק כי מטרתה של הגשת התובענה הינ</w:t>
      </w:r>
      <w:r>
        <w:rPr>
          <w:rFonts w:ascii="David" w:hAnsi="David"/>
          <w:rtl/>
        </w:rPr>
        <w:t>ה הסדרת מעמדו נוכח רצונו של מ</w:t>
      </w:r>
      <w:r>
        <w:rPr>
          <w:rFonts w:ascii="David" w:hAnsi="David" w:hint="cs"/>
          <w:rtl/>
        </w:rPr>
        <w:t>'</w:t>
      </w:r>
      <w:r w:rsidR="00F626CB">
        <w:rPr>
          <w:rFonts w:ascii="David" w:hAnsi="David"/>
          <w:rtl/>
        </w:rPr>
        <w:t xml:space="preserve"> לעלות לישראל.  </w:t>
      </w:r>
    </w:p>
    <w:p w:rsidR="00F626CB" w:rsidRDefault="00F626CB" w:rsidP="00F626CB">
      <w:pPr>
        <w:pStyle w:val="ac"/>
        <w:rPr>
          <w:rFonts w:ascii="David" w:hAnsi="David"/>
        </w:rPr>
      </w:pPr>
    </w:p>
    <w:p w:rsidR="00F626CB" w:rsidRDefault="004F4A8A" w:rsidP="004F4A8A">
      <w:pPr>
        <w:pStyle w:val="ac"/>
        <w:spacing w:line="360" w:lineRule="auto"/>
        <w:jc w:val="both"/>
        <w:rPr>
          <w:rFonts w:ascii="David" w:hAnsi="David"/>
          <w:rtl/>
        </w:rPr>
      </w:pPr>
      <w:r>
        <w:rPr>
          <w:rFonts w:ascii="David" w:hAnsi="David"/>
          <w:rtl/>
        </w:rPr>
        <w:t>לפי הנטען בכתב התביעה, מ</w:t>
      </w:r>
      <w:r>
        <w:rPr>
          <w:rFonts w:ascii="David" w:hAnsi="David" w:hint="cs"/>
          <w:rtl/>
        </w:rPr>
        <w:t>'</w:t>
      </w:r>
      <w:r w:rsidR="00F626CB">
        <w:rPr>
          <w:rFonts w:ascii="David" w:hAnsi="David"/>
          <w:rtl/>
        </w:rPr>
        <w:t xml:space="preserve"> נולד ביום 30.12.97  בעיר נ</w:t>
      </w:r>
      <w:r>
        <w:rPr>
          <w:rFonts w:ascii="David" w:hAnsi="David" w:hint="cs"/>
          <w:rtl/>
        </w:rPr>
        <w:t xml:space="preserve">' </w:t>
      </w:r>
      <w:r w:rsidR="00F626CB">
        <w:rPr>
          <w:rFonts w:ascii="David" w:hAnsi="David"/>
          <w:rtl/>
        </w:rPr>
        <w:t>במזרחה של רוסיה, מקשר זוגי</w:t>
      </w:r>
      <w:r w:rsidR="00842AFF">
        <w:rPr>
          <w:rFonts w:ascii="David" w:hAnsi="David"/>
          <w:rtl/>
        </w:rPr>
        <w:t xml:space="preserve"> ללא נישואין שניהלה אמו עם ס</w:t>
      </w:r>
      <w:r w:rsidR="00842AFF">
        <w:rPr>
          <w:rFonts w:ascii="David" w:hAnsi="David" w:hint="cs"/>
          <w:rtl/>
        </w:rPr>
        <w:t>'</w:t>
      </w:r>
      <w:r w:rsidR="00F626CB">
        <w:rPr>
          <w:rFonts w:ascii="David" w:hAnsi="David"/>
          <w:rtl/>
        </w:rPr>
        <w:t xml:space="preserve"> המנוח בין השנים 1995 עד 2000, עת היו פרודים מבני זוגם הקודמים, אשר הוסיפו להיוותר כבני זוג רשומים. </w:t>
      </w:r>
    </w:p>
    <w:p w:rsidR="00F626CB" w:rsidRDefault="00F626CB" w:rsidP="00F626CB">
      <w:pPr>
        <w:pStyle w:val="ac"/>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tl/>
        </w:rPr>
      </w:pPr>
      <w:r>
        <w:rPr>
          <w:rFonts w:ascii="David" w:hAnsi="David"/>
          <w:rtl/>
        </w:rPr>
        <w:t xml:space="preserve">תובע 1  (להלן : </w:t>
      </w:r>
      <w:r w:rsidR="00842AFF">
        <w:rPr>
          <w:rFonts w:ascii="David" w:hAnsi="David"/>
          <w:b/>
          <w:bCs/>
          <w:rtl/>
        </w:rPr>
        <w:t>"א</w:t>
      </w:r>
      <w:r w:rsidR="00842AFF">
        <w:rPr>
          <w:rFonts w:ascii="David" w:hAnsi="David" w:hint="cs"/>
          <w:b/>
          <w:bCs/>
          <w:rtl/>
        </w:rPr>
        <w:t>'</w:t>
      </w:r>
      <w:r>
        <w:rPr>
          <w:rFonts w:ascii="David" w:hAnsi="David"/>
          <w:b/>
          <w:bCs/>
          <w:rtl/>
        </w:rPr>
        <w:t xml:space="preserve">") </w:t>
      </w:r>
      <w:r w:rsidR="00842AFF">
        <w:rPr>
          <w:rFonts w:ascii="David" w:hAnsi="David"/>
          <w:rtl/>
        </w:rPr>
        <w:t>הינו אחיו של המנוח ס</w:t>
      </w:r>
      <w:r w:rsidR="00842AFF">
        <w:rPr>
          <w:rFonts w:ascii="David" w:hAnsi="David" w:hint="cs"/>
          <w:rtl/>
        </w:rPr>
        <w:t>'</w:t>
      </w:r>
      <w:r w:rsidR="00842AFF">
        <w:rPr>
          <w:rFonts w:ascii="David" w:hAnsi="David"/>
          <w:rtl/>
        </w:rPr>
        <w:t xml:space="preserve"> ודודו לפי הנטען של מ</w:t>
      </w:r>
      <w:r w:rsidR="00842AFF">
        <w:rPr>
          <w:rFonts w:ascii="David" w:hAnsi="David" w:hint="cs"/>
          <w:rtl/>
        </w:rPr>
        <w:t xml:space="preserve">'. </w:t>
      </w:r>
      <w:r>
        <w:rPr>
          <w:rFonts w:ascii="David" w:hAnsi="David"/>
          <w:rtl/>
        </w:rPr>
        <w:t xml:space="preserve"> </w:t>
      </w:r>
    </w:p>
    <w:p w:rsidR="00F626CB" w:rsidRDefault="00F626CB" w:rsidP="00F626CB">
      <w:pPr>
        <w:pStyle w:val="ac"/>
        <w:rPr>
          <w:rFonts w:ascii="David" w:hAnsi="David"/>
        </w:rPr>
      </w:pPr>
    </w:p>
    <w:p w:rsidR="00F626CB" w:rsidRDefault="00842AFF" w:rsidP="00F626CB">
      <w:pPr>
        <w:pStyle w:val="ac"/>
        <w:numPr>
          <w:ilvl w:val="0"/>
          <w:numId w:val="6"/>
        </w:numPr>
        <w:spacing w:line="360" w:lineRule="auto"/>
        <w:jc w:val="both"/>
        <w:rPr>
          <w:rFonts w:ascii="David" w:hAnsi="David"/>
          <w:rtl/>
        </w:rPr>
      </w:pPr>
      <w:r>
        <w:rPr>
          <w:rFonts w:ascii="David" w:hAnsi="David"/>
          <w:rtl/>
        </w:rPr>
        <w:t>לאחים ס</w:t>
      </w:r>
      <w:r>
        <w:rPr>
          <w:rFonts w:ascii="David" w:hAnsi="David" w:hint="cs"/>
          <w:rtl/>
        </w:rPr>
        <w:t>'</w:t>
      </w:r>
      <w:r>
        <w:rPr>
          <w:rFonts w:ascii="David" w:hAnsi="David"/>
          <w:rtl/>
        </w:rPr>
        <w:t xml:space="preserve"> המנוח וא</w:t>
      </w:r>
      <w:r>
        <w:rPr>
          <w:rFonts w:ascii="David" w:hAnsi="David" w:hint="cs"/>
          <w:rtl/>
        </w:rPr>
        <w:t>'</w:t>
      </w:r>
      <w:r>
        <w:rPr>
          <w:rFonts w:ascii="David" w:hAnsi="David"/>
          <w:rtl/>
        </w:rPr>
        <w:t xml:space="preserve"> אח  נוסף שנפטר ג</w:t>
      </w:r>
      <w:r>
        <w:rPr>
          <w:rFonts w:ascii="David" w:hAnsi="David" w:hint="cs"/>
          <w:rtl/>
        </w:rPr>
        <w:t>.א.</w:t>
      </w:r>
      <w:r w:rsidR="00F626CB">
        <w:rPr>
          <w:rFonts w:ascii="David" w:hAnsi="David"/>
          <w:rtl/>
        </w:rPr>
        <w:t xml:space="preserve"> ז"ל (להלן: </w:t>
      </w:r>
      <w:r>
        <w:rPr>
          <w:rFonts w:ascii="David" w:hAnsi="David"/>
          <w:b/>
          <w:bCs/>
          <w:rtl/>
        </w:rPr>
        <w:t>"ג</w:t>
      </w:r>
      <w:r>
        <w:rPr>
          <w:rFonts w:ascii="David" w:hAnsi="David" w:hint="cs"/>
          <w:b/>
          <w:bCs/>
          <w:rtl/>
        </w:rPr>
        <w:t>'</w:t>
      </w:r>
      <w:r w:rsidR="00F626CB">
        <w:rPr>
          <w:rFonts w:ascii="David" w:hAnsi="David"/>
          <w:b/>
          <w:bCs/>
          <w:rtl/>
        </w:rPr>
        <w:t xml:space="preserve"> המנוח"</w:t>
      </w:r>
      <w:r w:rsidR="00F626CB">
        <w:rPr>
          <w:rFonts w:ascii="David" w:hAnsi="David"/>
          <w:rtl/>
        </w:rPr>
        <w:t xml:space="preserve">). באשר לזיקתו להליך ארחיב בהמשך. </w:t>
      </w:r>
    </w:p>
    <w:p w:rsidR="00F626CB" w:rsidRDefault="00F626CB" w:rsidP="00F626CB">
      <w:pPr>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Pr>
      </w:pPr>
      <w:r>
        <w:rPr>
          <w:rFonts w:ascii="David" w:hAnsi="David"/>
          <w:rtl/>
        </w:rPr>
        <w:t>התובענה הועברה לטיפולי בחודש מרס 2022. עסקינן בת</w:t>
      </w:r>
      <w:r w:rsidR="00842AFF">
        <w:rPr>
          <w:rFonts w:ascii="David" w:hAnsi="David"/>
          <w:rtl/>
        </w:rPr>
        <w:t>ובענה שבראשיתה הוגשה ע"י א</w:t>
      </w:r>
      <w:r w:rsidR="00842AFF">
        <w:rPr>
          <w:rFonts w:ascii="David" w:hAnsi="David" w:hint="cs"/>
          <w:rtl/>
        </w:rPr>
        <w:t>'</w:t>
      </w:r>
      <w:r w:rsidR="00842AFF">
        <w:rPr>
          <w:rFonts w:ascii="David" w:hAnsi="David"/>
          <w:rtl/>
        </w:rPr>
        <w:t xml:space="preserve"> ומ</w:t>
      </w:r>
      <w:r w:rsidR="00842AFF">
        <w:rPr>
          <w:rFonts w:ascii="David" w:hAnsi="David" w:hint="cs"/>
          <w:rtl/>
        </w:rPr>
        <w:t>'</w:t>
      </w:r>
      <w:r>
        <w:rPr>
          <w:rFonts w:ascii="David" w:hAnsi="David"/>
          <w:rtl/>
        </w:rPr>
        <w:t xml:space="preserve"> כנגד ב"כ היועמ"ש בלבד, אשר במסגרתה ניתן ביום 14.7.21 צו מוסכ</w:t>
      </w:r>
      <w:r w:rsidR="00842AFF">
        <w:rPr>
          <w:rFonts w:ascii="David" w:hAnsi="David"/>
          <w:rtl/>
        </w:rPr>
        <w:t>ם לבדיקה גנטית בשאלה האם א</w:t>
      </w:r>
      <w:r w:rsidR="00842AFF">
        <w:rPr>
          <w:rFonts w:ascii="David" w:hAnsi="David" w:hint="cs"/>
          <w:rtl/>
        </w:rPr>
        <w:t>'</w:t>
      </w:r>
      <w:r w:rsidR="00842AFF">
        <w:rPr>
          <w:rFonts w:ascii="David" w:hAnsi="David"/>
          <w:rtl/>
        </w:rPr>
        <w:t xml:space="preserve">  הינו דודו מצד האב של </w:t>
      </w:r>
      <w:r w:rsidR="00842AFF">
        <w:rPr>
          <w:rFonts w:ascii="David" w:hAnsi="David" w:hint="cs"/>
          <w:rtl/>
        </w:rPr>
        <w:t>מ'</w:t>
      </w:r>
      <w:r>
        <w:rPr>
          <w:rFonts w:ascii="David" w:hAnsi="David"/>
          <w:rtl/>
        </w:rPr>
        <w:t xml:space="preserve">.  </w:t>
      </w:r>
    </w:p>
    <w:p w:rsidR="00F626CB" w:rsidRDefault="00F626CB" w:rsidP="00F626CB">
      <w:pPr>
        <w:pStyle w:val="ac"/>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Pr>
      </w:pPr>
      <w:r>
        <w:rPr>
          <w:rFonts w:ascii="David" w:hAnsi="David"/>
          <w:rtl/>
        </w:rPr>
        <w:t xml:space="preserve">ביום 23.1.22 הוגשה חוות דעת המעבדה לסיווג רקמות בבית החולים "שיבא" לפיה קיימת אפשרות לקשרי דודות מצד אב בין השניים (להלן: </w:t>
      </w:r>
      <w:r>
        <w:rPr>
          <w:rFonts w:ascii="David" w:hAnsi="David"/>
          <w:b/>
          <w:bCs/>
          <w:rtl/>
        </w:rPr>
        <w:t>"חוות הדעת"</w:t>
      </w:r>
      <w:r>
        <w:rPr>
          <w:rFonts w:ascii="David" w:hAnsi="David"/>
          <w:rtl/>
        </w:rPr>
        <w:t xml:space="preserve">). </w:t>
      </w:r>
    </w:p>
    <w:p w:rsidR="00F626CB" w:rsidRDefault="00F626CB" w:rsidP="00F626CB">
      <w:pPr>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Pr>
      </w:pPr>
      <w:r>
        <w:rPr>
          <w:rFonts w:ascii="David" w:hAnsi="David"/>
          <w:rtl/>
        </w:rPr>
        <w:t xml:space="preserve">ב"כ היועמ"ש בעמדתו מיום 16.5.22 הבהיר, כי הוא אינו מתנגד למתן פסק דין  הצהרתי </w:t>
      </w:r>
      <w:r w:rsidR="00842AFF">
        <w:rPr>
          <w:rFonts w:ascii="David" w:hAnsi="David"/>
          <w:rtl/>
        </w:rPr>
        <w:t>לקשר של דודות מצד אב בין א</w:t>
      </w:r>
      <w:r w:rsidR="00842AFF">
        <w:rPr>
          <w:rFonts w:ascii="David" w:hAnsi="David" w:hint="cs"/>
          <w:rtl/>
        </w:rPr>
        <w:t>'</w:t>
      </w:r>
      <w:r w:rsidR="00842AFF">
        <w:rPr>
          <w:rFonts w:ascii="David" w:hAnsi="David"/>
          <w:rtl/>
        </w:rPr>
        <w:t xml:space="preserve"> למ</w:t>
      </w:r>
      <w:r w:rsidR="00842AFF">
        <w:rPr>
          <w:rFonts w:ascii="David" w:hAnsi="David" w:hint="cs"/>
          <w:rtl/>
        </w:rPr>
        <w:t>'</w:t>
      </w:r>
      <w:r>
        <w:rPr>
          <w:rFonts w:ascii="David" w:hAnsi="David"/>
          <w:rtl/>
        </w:rPr>
        <w:t xml:space="preserve"> אך מתנגד להכרה באבהות של המנוח </w:t>
      </w:r>
      <w:r w:rsidR="00842AFF">
        <w:rPr>
          <w:rFonts w:ascii="David" w:hAnsi="David"/>
          <w:rtl/>
        </w:rPr>
        <w:t>ס</w:t>
      </w:r>
      <w:r w:rsidR="00842AFF">
        <w:rPr>
          <w:rFonts w:ascii="David" w:hAnsi="David" w:hint="cs"/>
          <w:rtl/>
        </w:rPr>
        <w:t>'</w:t>
      </w:r>
      <w:r w:rsidR="00842AFF">
        <w:rPr>
          <w:rFonts w:ascii="David" w:hAnsi="David"/>
          <w:rtl/>
        </w:rPr>
        <w:t xml:space="preserve"> כלפי מ</w:t>
      </w:r>
      <w:r w:rsidR="00842AFF">
        <w:rPr>
          <w:rFonts w:ascii="David" w:hAnsi="David" w:hint="cs"/>
          <w:rtl/>
        </w:rPr>
        <w:t>'</w:t>
      </w:r>
      <w:r>
        <w:rPr>
          <w:rFonts w:ascii="David" w:hAnsi="David"/>
          <w:rtl/>
        </w:rPr>
        <w:t xml:space="preserve">. </w:t>
      </w:r>
    </w:p>
    <w:p w:rsidR="00F626CB" w:rsidRDefault="00F626CB" w:rsidP="00F626CB">
      <w:pPr>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Pr>
      </w:pPr>
      <w:r>
        <w:rPr>
          <w:rFonts w:ascii="David" w:hAnsi="David"/>
          <w:rtl/>
        </w:rPr>
        <w:t>בדיון שהתקיים ביום 16.6.22 הוריתי בין היתר,  על</w:t>
      </w:r>
      <w:r w:rsidR="00842AFF">
        <w:rPr>
          <w:rFonts w:ascii="David" w:hAnsi="David"/>
          <w:rtl/>
        </w:rPr>
        <w:t xml:space="preserve"> צירוף שתי בנותיו של המנוח ס</w:t>
      </w:r>
      <w:r w:rsidR="00842AFF">
        <w:rPr>
          <w:rFonts w:ascii="David" w:hAnsi="David" w:hint="cs"/>
          <w:rtl/>
        </w:rPr>
        <w:t>'</w:t>
      </w:r>
      <w:r>
        <w:rPr>
          <w:rFonts w:ascii="David" w:hAnsi="David"/>
          <w:rtl/>
        </w:rPr>
        <w:t xml:space="preserve"> מנישואין קודמים כמשיבות בהליך. בהתאם, הוגש ביום 6.7.22 כתב תביעה מתוקן במסגרתו צו</w:t>
      </w:r>
      <w:r w:rsidR="00842AFF">
        <w:rPr>
          <w:rFonts w:ascii="David" w:hAnsi="David"/>
          <w:rtl/>
        </w:rPr>
        <w:t>רפו הנתבעות 2-3, בנותיו של ס</w:t>
      </w:r>
      <w:r w:rsidR="00842AFF">
        <w:rPr>
          <w:rFonts w:ascii="David" w:hAnsi="David" w:hint="cs"/>
          <w:rtl/>
        </w:rPr>
        <w:t>'</w:t>
      </w:r>
      <w:r>
        <w:rPr>
          <w:rFonts w:ascii="David" w:hAnsi="David"/>
          <w:rtl/>
        </w:rPr>
        <w:t xml:space="preserve"> המנוח (להלן: </w:t>
      </w:r>
      <w:r w:rsidR="00842AFF">
        <w:rPr>
          <w:rFonts w:ascii="David" w:hAnsi="David"/>
          <w:b/>
          <w:bCs/>
          <w:rtl/>
        </w:rPr>
        <w:t>"ל</w:t>
      </w:r>
      <w:r w:rsidR="00842AFF">
        <w:rPr>
          <w:rFonts w:ascii="David" w:hAnsi="David" w:hint="cs"/>
          <w:b/>
          <w:bCs/>
          <w:rtl/>
        </w:rPr>
        <w:t>'</w:t>
      </w:r>
      <w:r>
        <w:rPr>
          <w:rFonts w:ascii="David" w:hAnsi="David"/>
          <w:b/>
          <w:bCs/>
          <w:rtl/>
        </w:rPr>
        <w:t>"</w:t>
      </w:r>
      <w:r>
        <w:rPr>
          <w:rFonts w:ascii="David" w:hAnsi="David"/>
          <w:rtl/>
        </w:rPr>
        <w:t xml:space="preserve"> ו- </w:t>
      </w:r>
      <w:r w:rsidR="00842AFF">
        <w:rPr>
          <w:rFonts w:ascii="David" w:hAnsi="David"/>
          <w:b/>
          <w:bCs/>
          <w:rtl/>
        </w:rPr>
        <w:t>"א</w:t>
      </w:r>
      <w:r>
        <w:rPr>
          <w:rFonts w:ascii="David" w:hAnsi="David"/>
          <w:b/>
          <w:bCs/>
          <w:rtl/>
        </w:rPr>
        <w:t>"</w:t>
      </w:r>
      <w:r>
        <w:rPr>
          <w:rFonts w:ascii="David" w:hAnsi="David"/>
          <w:rtl/>
        </w:rPr>
        <w:t>,</w:t>
      </w:r>
      <w:r w:rsidR="00842AFF">
        <w:rPr>
          <w:rFonts w:ascii="David" w:hAnsi="David"/>
          <w:rtl/>
        </w:rPr>
        <w:t xml:space="preserve"> בהתאמה), עת בהמשך התברר של</w:t>
      </w:r>
      <w:r w:rsidR="00842AFF">
        <w:rPr>
          <w:rFonts w:ascii="David" w:hAnsi="David" w:hint="cs"/>
          <w:rtl/>
        </w:rPr>
        <w:t>'</w:t>
      </w:r>
      <w:r>
        <w:rPr>
          <w:rFonts w:ascii="David" w:hAnsi="David"/>
          <w:rtl/>
        </w:rPr>
        <w:t xml:space="preserve"> אינה רשומה במשרד הפנים כבתו. כך גם צורפה אמן, נתבעת 4 (להלן: </w:t>
      </w:r>
      <w:r w:rsidR="00842AFF">
        <w:rPr>
          <w:rFonts w:ascii="David" w:hAnsi="David"/>
          <w:b/>
          <w:bCs/>
          <w:rtl/>
        </w:rPr>
        <w:t>"א</w:t>
      </w:r>
      <w:r w:rsidR="00842AFF">
        <w:rPr>
          <w:rFonts w:ascii="David" w:hAnsi="David" w:hint="cs"/>
          <w:b/>
          <w:bCs/>
          <w:rtl/>
        </w:rPr>
        <w:t>ל</w:t>
      </w:r>
      <w:r>
        <w:rPr>
          <w:rFonts w:ascii="David" w:hAnsi="David"/>
          <w:b/>
          <w:bCs/>
          <w:rtl/>
        </w:rPr>
        <w:t>"</w:t>
      </w:r>
      <w:r w:rsidR="00842AFF">
        <w:rPr>
          <w:rFonts w:ascii="David" w:hAnsi="David"/>
          <w:rtl/>
        </w:rPr>
        <w:t>). א</w:t>
      </w:r>
      <w:r w:rsidR="00842AFF">
        <w:rPr>
          <w:rFonts w:ascii="David" w:hAnsi="David" w:hint="cs"/>
          <w:rtl/>
        </w:rPr>
        <w:t>' ואל'</w:t>
      </w:r>
      <w:r>
        <w:rPr>
          <w:rFonts w:ascii="David" w:hAnsi="David"/>
          <w:rtl/>
        </w:rPr>
        <w:t xml:space="preserve"> מתגוררות בארה"ב. </w:t>
      </w:r>
    </w:p>
    <w:p w:rsidR="00F626CB" w:rsidRDefault="00F626CB" w:rsidP="00F626CB">
      <w:pPr>
        <w:pStyle w:val="ac"/>
        <w:rPr>
          <w:rFonts w:ascii="David" w:hAnsi="David"/>
        </w:rPr>
      </w:pPr>
    </w:p>
    <w:p w:rsidR="00F626CB" w:rsidRDefault="00842AFF" w:rsidP="00F626CB">
      <w:pPr>
        <w:pStyle w:val="ac"/>
        <w:numPr>
          <w:ilvl w:val="0"/>
          <w:numId w:val="6"/>
        </w:numPr>
        <w:spacing w:line="360" w:lineRule="auto"/>
        <w:jc w:val="both"/>
        <w:rPr>
          <w:rFonts w:ascii="David" w:hAnsi="David"/>
          <w:rtl/>
        </w:rPr>
      </w:pPr>
      <w:r>
        <w:rPr>
          <w:rFonts w:ascii="David" w:hAnsi="David"/>
          <w:rtl/>
        </w:rPr>
        <w:t>ביום 12.7.22 צורפו עמדות א</w:t>
      </w:r>
      <w:r>
        <w:rPr>
          <w:rFonts w:ascii="David" w:hAnsi="David" w:hint="cs"/>
          <w:rtl/>
        </w:rPr>
        <w:t>'</w:t>
      </w:r>
      <w:r>
        <w:rPr>
          <w:rFonts w:ascii="David" w:hAnsi="David"/>
          <w:rtl/>
        </w:rPr>
        <w:t xml:space="preserve"> ואל</w:t>
      </w:r>
      <w:r>
        <w:rPr>
          <w:rFonts w:ascii="David" w:hAnsi="David" w:hint="cs"/>
          <w:rtl/>
        </w:rPr>
        <w:t>'</w:t>
      </w:r>
      <w:r w:rsidR="00F626CB">
        <w:rPr>
          <w:rFonts w:ascii="David" w:hAnsi="David"/>
          <w:rtl/>
        </w:rPr>
        <w:t xml:space="preserve">, שלא בדרך של הגשת תצהירים מטעמן, לפיהן הן אינן </w:t>
      </w:r>
      <w:r>
        <w:rPr>
          <w:rFonts w:ascii="David" w:hAnsi="David"/>
          <w:rtl/>
        </w:rPr>
        <w:t>מתנגדות לסעד המבוקש. תצהירי מ</w:t>
      </w:r>
      <w:r>
        <w:rPr>
          <w:rFonts w:ascii="David" w:hAnsi="David" w:hint="cs"/>
          <w:rtl/>
        </w:rPr>
        <w:t>'</w:t>
      </w:r>
      <w:r w:rsidR="00F626CB">
        <w:rPr>
          <w:rFonts w:ascii="David" w:hAnsi="David"/>
          <w:rtl/>
        </w:rPr>
        <w:t xml:space="preserve"> שהוגשו באותו היום וביום 11.8.22 לתמיכה בעמדת הנתבעות כפי שהוגשה, הוצאו מגדר מסמכי התיק על פי הסכמת הצדדים. </w:t>
      </w:r>
    </w:p>
    <w:p w:rsidR="00F626CB" w:rsidRDefault="00F626CB" w:rsidP="00F626CB">
      <w:pPr>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Pr>
      </w:pPr>
      <w:r>
        <w:rPr>
          <w:rFonts w:ascii="David" w:hAnsi="David"/>
          <w:rtl/>
        </w:rPr>
        <w:t>בדיון שהתקיים בי</w:t>
      </w:r>
      <w:r w:rsidR="00842AFF">
        <w:rPr>
          <w:rFonts w:ascii="David" w:hAnsi="David"/>
          <w:rtl/>
        </w:rPr>
        <w:t>ום 8.12.22 השתתפו הנתבעות ל</w:t>
      </w:r>
      <w:r w:rsidR="00842AFF">
        <w:rPr>
          <w:rFonts w:ascii="David" w:hAnsi="David" w:hint="cs"/>
          <w:rtl/>
        </w:rPr>
        <w:t>'</w:t>
      </w:r>
      <w:r w:rsidR="00842AFF">
        <w:rPr>
          <w:rFonts w:ascii="David" w:hAnsi="David"/>
          <w:rtl/>
        </w:rPr>
        <w:t xml:space="preserve"> וא</w:t>
      </w:r>
      <w:r w:rsidR="00842AFF">
        <w:rPr>
          <w:rFonts w:ascii="David" w:hAnsi="David" w:hint="cs"/>
          <w:rtl/>
        </w:rPr>
        <w:t>'</w:t>
      </w:r>
      <w:r>
        <w:rPr>
          <w:rFonts w:ascii="David" w:hAnsi="David"/>
          <w:rtl/>
        </w:rPr>
        <w:t xml:space="preserve"> בדרך של היוועדות חזותיות והובהר על יד</w:t>
      </w:r>
      <w:r w:rsidR="00842AFF">
        <w:rPr>
          <w:rFonts w:ascii="David" w:hAnsi="David"/>
          <w:rtl/>
        </w:rPr>
        <w:t>ן כי הן אינן מתנגדות להכרה במ</w:t>
      </w:r>
      <w:r w:rsidR="00842AFF">
        <w:rPr>
          <w:rFonts w:ascii="David" w:hAnsi="David" w:hint="cs"/>
          <w:rtl/>
        </w:rPr>
        <w:t>'</w:t>
      </w:r>
      <w:r>
        <w:rPr>
          <w:rFonts w:ascii="David" w:hAnsi="David"/>
          <w:rtl/>
        </w:rPr>
        <w:t xml:space="preserve"> כבנו של המנוח. </w:t>
      </w:r>
    </w:p>
    <w:p w:rsidR="00F626CB" w:rsidRDefault="00F626CB" w:rsidP="00F626CB">
      <w:pPr>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Pr>
      </w:pPr>
      <w:r>
        <w:rPr>
          <w:rFonts w:ascii="David" w:hAnsi="David"/>
          <w:rtl/>
        </w:rPr>
        <w:t>כאן המקום לציין, כי ברקע הליך אחר שה</w:t>
      </w:r>
      <w:r w:rsidR="00842AFF">
        <w:rPr>
          <w:rFonts w:ascii="David" w:hAnsi="David"/>
          <w:rtl/>
        </w:rPr>
        <w:t>תנהל הנוגע לאחיו של המנוח, ג</w:t>
      </w:r>
      <w:r w:rsidR="00842AFF">
        <w:rPr>
          <w:rFonts w:ascii="David" w:hAnsi="David" w:hint="cs"/>
          <w:rtl/>
        </w:rPr>
        <w:t>'</w:t>
      </w:r>
      <w:r>
        <w:rPr>
          <w:rFonts w:ascii="David" w:hAnsi="David"/>
          <w:rtl/>
        </w:rPr>
        <w:t xml:space="preserve"> המנוח ז"ל (תמ"ש 19760-04-18, להלן: </w:t>
      </w:r>
      <w:r>
        <w:rPr>
          <w:rFonts w:ascii="David" w:hAnsi="David"/>
          <w:b/>
          <w:bCs/>
          <w:rtl/>
        </w:rPr>
        <w:t>"ההליך האחר"</w:t>
      </w:r>
      <w:r>
        <w:rPr>
          <w:rFonts w:ascii="David" w:hAnsi="David"/>
          <w:rtl/>
        </w:rPr>
        <w:t>) במסגרתו ניתן פסק</w:t>
      </w:r>
      <w:r w:rsidR="00842AFF">
        <w:rPr>
          <w:rFonts w:ascii="David" w:hAnsi="David"/>
          <w:rtl/>
        </w:rPr>
        <w:t xml:space="preserve"> דין הצהרתי בדבר אבהותו של ג</w:t>
      </w:r>
      <w:r w:rsidR="00842AFF">
        <w:rPr>
          <w:rFonts w:ascii="David" w:hAnsi="David" w:hint="cs"/>
          <w:rtl/>
        </w:rPr>
        <w:t>'</w:t>
      </w:r>
      <w:r>
        <w:rPr>
          <w:rFonts w:ascii="David" w:hAnsi="David"/>
          <w:rtl/>
        </w:rPr>
        <w:t xml:space="preserve"> המנוח כלפי אחר.  </w:t>
      </w:r>
    </w:p>
    <w:p w:rsidR="00F626CB" w:rsidRDefault="00F626CB" w:rsidP="00F626CB">
      <w:pPr>
        <w:pStyle w:val="ac"/>
        <w:rPr>
          <w:rFonts w:ascii="David" w:hAnsi="David"/>
        </w:rPr>
      </w:pPr>
    </w:p>
    <w:p w:rsidR="00F626CB" w:rsidRDefault="00F626CB" w:rsidP="00F626CB">
      <w:pPr>
        <w:pStyle w:val="ac"/>
        <w:spacing w:line="360" w:lineRule="auto"/>
        <w:jc w:val="both"/>
        <w:rPr>
          <w:rFonts w:ascii="David" w:hAnsi="David"/>
          <w:rtl/>
        </w:rPr>
      </w:pPr>
      <w:r>
        <w:rPr>
          <w:rFonts w:ascii="David" w:hAnsi="David"/>
          <w:rtl/>
        </w:rPr>
        <w:lastRenderedPageBreak/>
        <w:t xml:space="preserve">התובעים ביקשו בהליך זה להיתלות בפסק הדין האמור בעודם מחזיקים בעמדה כי מדובר בסוגיה דומה בין בני אותה משפחה אשר חרף עמדתו המתנגדת של  ב"כ היועמ"ש הוכרה אבהות (העתק פסק הדין צורף לתיק דנן מטעם התובעים ביום 30.1.22).  </w:t>
      </w:r>
    </w:p>
    <w:p w:rsidR="00F626CB" w:rsidRDefault="00F626CB" w:rsidP="00F626CB">
      <w:pPr>
        <w:pStyle w:val="ac"/>
        <w:rPr>
          <w:rFonts w:ascii="David" w:hAnsi="David"/>
        </w:rPr>
      </w:pPr>
    </w:p>
    <w:p w:rsidR="00F626CB" w:rsidRDefault="00F626CB" w:rsidP="00F626CB">
      <w:pPr>
        <w:pStyle w:val="ac"/>
        <w:numPr>
          <w:ilvl w:val="0"/>
          <w:numId w:val="6"/>
        </w:numPr>
        <w:spacing w:line="360" w:lineRule="auto"/>
        <w:jc w:val="both"/>
        <w:rPr>
          <w:rFonts w:ascii="David" w:hAnsi="David"/>
          <w:rtl/>
        </w:rPr>
      </w:pPr>
      <w:r>
        <w:rPr>
          <w:rFonts w:ascii="David" w:hAnsi="David"/>
          <w:rtl/>
        </w:rPr>
        <w:t>ב"כ היועמ"ש בתגובתו מיום 22.12.22 הביע ה</w:t>
      </w:r>
      <w:r w:rsidR="00842AFF">
        <w:rPr>
          <w:rFonts w:ascii="David" w:hAnsi="David"/>
          <w:rtl/>
        </w:rPr>
        <w:t>תנגדותו להכרה באבהות המנוח ס</w:t>
      </w:r>
      <w:r w:rsidR="00842AFF">
        <w:rPr>
          <w:rFonts w:ascii="David" w:hAnsi="David" w:hint="cs"/>
          <w:rtl/>
        </w:rPr>
        <w:t>'</w:t>
      </w:r>
      <w:r>
        <w:rPr>
          <w:rFonts w:ascii="David" w:hAnsi="David"/>
          <w:rtl/>
        </w:rPr>
        <w:t xml:space="preserve">, שעה שלא נערכה בדיקה גנטית לאבהות אלא לדודות בלבד והואיל ויש בסעד שהתבקש, ככל שתתקבל התביעה, להשליך במישרין </w:t>
      </w:r>
      <w:r w:rsidR="00842AFF">
        <w:rPr>
          <w:rFonts w:ascii="David" w:hAnsi="David"/>
          <w:rtl/>
        </w:rPr>
        <w:t>על מרשם האוכלוסין ומעמדו של מ</w:t>
      </w:r>
      <w:r w:rsidR="00842AFF">
        <w:rPr>
          <w:rFonts w:ascii="David" w:hAnsi="David" w:hint="cs"/>
          <w:rtl/>
        </w:rPr>
        <w:t>'</w:t>
      </w:r>
      <w:r>
        <w:rPr>
          <w:rFonts w:ascii="David" w:hAnsi="David"/>
          <w:rtl/>
        </w:rPr>
        <w:t xml:space="preserve"> בישראל. ב"כ היועמ"ש גם לא מצא מקום להקיש בין ההליך הקודם להליך דכאן.</w:t>
      </w:r>
    </w:p>
    <w:p w:rsidR="00F626CB" w:rsidRDefault="00F626CB" w:rsidP="00F626CB">
      <w:pPr>
        <w:pStyle w:val="ac"/>
        <w:rPr>
          <w:rFonts w:ascii="David" w:hAnsi="David"/>
        </w:rPr>
      </w:pPr>
    </w:p>
    <w:p w:rsidR="00F626CB" w:rsidRDefault="00F626CB" w:rsidP="00F626CB">
      <w:pPr>
        <w:pStyle w:val="ac"/>
        <w:spacing w:line="360" w:lineRule="auto"/>
        <w:jc w:val="both"/>
        <w:rPr>
          <w:rFonts w:ascii="David" w:hAnsi="David"/>
          <w:rtl/>
        </w:rPr>
      </w:pPr>
      <w:r>
        <w:rPr>
          <w:rFonts w:ascii="David" w:hAnsi="David"/>
          <w:rtl/>
        </w:rPr>
        <w:t>עוד הבהיר ב"כ היוע</w:t>
      </w:r>
      <w:r w:rsidR="00842AFF">
        <w:rPr>
          <w:rFonts w:ascii="David" w:hAnsi="David"/>
          <w:rtl/>
        </w:rPr>
        <w:t>מ"ש בעמדתו מיום 6.2.23 כי ל</w:t>
      </w:r>
      <w:r w:rsidR="00842AFF">
        <w:rPr>
          <w:rFonts w:ascii="David" w:hAnsi="David" w:hint="cs"/>
          <w:rtl/>
        </w:rPr>
        <w:t>'</w:t>
      </w:r>
      <w:r w:rsidR="00842AFF">
        <w:rPr>
          <w:rFonts w:ascii="David" w:hAnsi="David"/>
          <w:rtl/>
        </w:rPr>
        <w:t xml:space="preserve"> אינה רשומה כבתו של המנוח ס</w:t>
      </w:r>
      <w:r w:rsidR="00842AFF">
        <w:rPr>
          <w:rFonts w:ascii="David" w:hAnsi="David" w:hint="cs"/>
          <w:rtl/>
        </w:rPr>
        <w:t>'</w:t>
      </w:r>
      <w:r>
        <w:rPr>
          <w:rFonts w:ascii="David" w:hAnsi="David"/>
          <w:rtl/>
        </w:rPr>
        <w:t xml:space="preserve">  באף אחד מרישומי משרד הפנים או ברישומי לשכת הקשר "נתיב" ואף היא בבחינ</w:t>
      </w:r>
      <w:r w:rsidR="00842AFF">
        <w:rPr>
          <w:rFonts w:ascii="David" w:hAnsi="David"/>
          <w:rtl/>
        </w:rPr>
        <w:t xml:space="preserve">ת בתו הנטענת בלבד של המנוח </w:t>
      </w:r>
      <w:r w:rsidR="00842AFF">
        <w:rPr>
          <w:rFonts w:ascii="David" w:hAnsi="David" w:hint="cs"/>
          <w:rtl/>
        </w:rPr>
        <w:t>ס'</w:t>
      </w:r>
      <w:r>
        <w:rPr>
          <w:rFonts w:ascii="David" w:hAnsi="David"/>
          <w:rtl/>
        </w:rPr>
        <w:t xml:space="preserve">. </w:t>
      </w:r>
    </w:p>
    <w:p w:rsidR="00F626CB" w:rsidRDefault="00F626CB" w:rsidP="00F626CB">
      <w:pPr>
        <w:pStyle w:val="ac"/>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Pr>
      </w:pPr>
      <w:r>
        <w:rPr>
          <w:rFonts w:ascii="David" w:hAnsi="David"/>
          <w:rtl/>
        </w:rPr>
        <w:t xml:space="preserve">קבעתי את התובענה להתברר בדרך של שמיעת ראיות (ראו: החלטה מיום 3.4.23) . אלא שב"כ הצדדים הסכימו כי התובענה תוכרע על יסוד המצוי בתיק וסיכומי הצדדים שיוגשו </w:t>
      </w:r>
      <w:r>
        <w:rPr>
          <w:rFonts w:ascii="David" w:hAnsi="David"/>
          <w:u w:val="single"/>
          <w:rtl/>
        </w:rPr>
        <w:t>תוך שיוצאו מהתיק כלל התצהירים שמטעם התובעים כמפורט בהבהרת הצדדים מיום 29.11.23</w:t>
      </w:r>
      <w:r>
        <w:rPr>
          <w:rFonts w:ascii="David" w:hAnsi="David"/>
          <w:rtl/>
        </w:rPr>
        <w:t xml:space="preserve"> . בכלל אל</w:t>
      </w:r>
      <w:r w:rsidR="00842AFF">
        <w:rPr>
          <w:rFonts w:ascii="David" w:hAnsi="David"/>
          <w:rtl/>
        </w:rPr>
        <w:t>ה - תצהיר העדה הגב' מ</w:t>
      </w:r>
      <w:r w:rsidR="00842AFF">
        <w:rPr>
          <w:rFonts w:ascii="David" w:hAnsi="David" w:hint="cs"/>
          <w:rtl/>
        </w:rPr>
        <w:t>.ד.</w:t>
      </w:r>
      <w:r w:rsidR="00842AFF">
        <w:rPr>
          <w:rFonts w:ascii="David" w:hAnsi="David"/>
          <w:rtl/>
        </w:rPr>
        <w:t xml:space="preserve"> שהוגש ביום 13.2.22; תצהיר מ</w:t>
      </w:r>
      <w:r w:rsidR="00842AFF">
        <w:rPr>
          <w:rFonts w:ascii="David" w:hAnsi="David" w:hint="cs"/>
          <w:rtl/>
        </w:rPr>
        <w:t xml:space="preserve">' </w:t>
      </w:r>
      <w:r>
        <w:rPr>
          <w:rFonts w:ascii="David" w:hAnsi="David"/>
          <w:rtl/>
        </w:rPr>
        <w:t>שה</w:t>
      </w:r>
      <w:r w:rsidR="00842AFF">
        <w:rPr>
          <w:rFonts w:ascii="David" w:hAnsi="David"/>
          <w:rtl/>
        </w:rPr>
        <w:t>וגש ביום 12.7.22 ; תצהירי ל</w:t>
      </w:r>
      <w:r w:rsidR="00842AFF">
        <w:rPr>
          <w:rFonts w:ascii="David" w:hAnsi="David" w:hint="cs"/>
          <w:rtl/>
        </w:rPr>
        <w:t>'</w:t>
      </w:r>
      <w:r>
        <w:rPr>
          <w:rFonts w:ascii="David" w:hAnsi="David"/>
          <w:rtl/>
        </w:rPr>
        <w:t xml:space="preserve"> ש</w:t>
      </w:r>
      <w:r w:rsidR="00842AFF">
        <w:rPr>
          <w:rFonts w:ascii="David" w:hAnsi="David"/>
          <w:rtl/>
        </w:rPr>
        <w:t>הוגשו ביום 12.7.22 ; ותצהיר מ</w:t>
      </w:r>
      <w:r w:rsidR="00842AFF">
        <w:rPr>
          <w:rFonts w:ascii="David" w:hAnsi="David" w:hint="cs"/>
          <w:rtl/>
        </w:rPr>
        <w:t>'</w:t>
      </w:r>
      <w:r>
        <w:rPr>
          <w:rFonts w:ascii="David" w:hAnsi="David"/>
          <w:rtl/>
        </w:rPr>
        <w:t xml:space="preserve"> שהוגש ביום 11.8.22.  </w:t>
      </w:r>
    </w:p>
    <w:p w:rsidR="00F626CB" w:rsidRDefault="00F626CB" w:rsidP="00F626CB">
      <w:pPr>
        <w:pStyle w:val="ac"/>
        <w:spacing w:line="360" w:lineRule="auto"/>
        <w:jc w:val="both"/>
        <w:rPr>
          <w:rFonts w:ascii="David" w:hAnsi="David"/>
        </w:rPr>
      </w:pPr>
    </w:p>
    <w:p w:rsidR="00F626CB" w:rsidRDefault="00F626CB" w:rsidP="00F626CB">
      <w:pPr>
        <w:pStyle w:val="ac"/>
        <w:spacing w:line="360" w:lineRule="auto"/>
        <w:jc w:val="both"/>
        <w:rPr>
          <w:rFonts w:ascii="David" w:hAnsi="David"/>
          <w:b/>
          <w:bCs/>
          <w:u w:val="single"/>
          <w:rtl/>
        </w:rPr>
      </w:pPr>
      <w:r>
        <w:rPr>
          <w:rFonts w:ascii="David" w:hAnsi="David"/>
          <w:b/>
          <w:bCs/>
          <w:u w:val="single"/>
          <w:rtl/>
        </w:rPr>
        <w:t>תמצית טענות הצדדים בסיכומים</w:t>
      </w:r>
    </w:p>
    <w:p w:rsidR="00F626CB" w:rsidRDefault="00F626CB" w:rsidP="00F626CB">
      <w:pPr>
        <w:pStyle w:val="ac"/>
        <w:numPr>
          <w:ilvl w:val="0"/>
          <w:numId w:val="6"/>
        </w:numPr>
        <w:spacing w:line="360" w:lineRule="auto"/>
        <w:jc w:val="both"/>
        <w:rPr>
          <w:rFonts w:ascii="David" w:hAnsi="David"/>
        </w:rPr>
      </w:pPr>
      <w:r>
        <w:rPr>
          <w:rFonts w:ascii="David" w:hAnsi="David"/>
          <w:rtl/>
        </w:rPr>
        <w:t xml:space="preserve">לטענת התובעים, לנוכח מסקנות חוות דעת המעבדה לסיווג רקמות משהוכח קיומו של קשר דודות, השאלה היחידה שנותרה במחלוקת היא </w:t>
      </w:r>
      <w:r w:rsidR="00842AFF">
        <w:rPr>
          <w:rFonts w:ascii="David" w:hAnsi="David"/>
          <w:rtl/>
        </w:rPr>
        <w:t>מי משני אחיו המנוחים  של א</w:t>
      </w:r>
      <w:r w:rsidR="00842AFF">
        <w:rPr>
          <w:rFonts w:ascii="David" w:hAnsi="David" w:hint="cs"/>
          <w:rtl/>
        </w:rPr>
        <w:t>'</w:t>
      </w:r>
      <w:r w:rsidR="00842AFF">
        <w:rPr>
          <w:rFonts w:ascii="David" w:hAnsi="David"/>
          <w:rtl/>
        </w:rPr>
        <w:t xml:space="preserve"> הוא אביו של מ</w:t>
      </w:r>
      <w:r w:rsidR="00842AFF">
        <w:rPr>
          <w:rFonts w:ascii="David" w:hAnsi="David" w:hint="cs"/>
          <w:rtl/>
        </w:rPr>
        <w:t>'</w:t>
      </w:r>
      <w:r w:rsidR="00842AFF">
        <w:rPr>
          <w:rFonts w:ascii="David" w:hAnsi="David"/>
          <w:rtl/>
        </w:rPr>
        <w:t>.  קרי,  האם זה המנוח ס</w:t>
      </w:r>
      <w:r w:rsidR="00842AFF">
        <w:rPr>
          <w:rFonts w:ascii="David" w:hAnsi="David" w:hint="cs"/>
          <w:rtl/>
        </w:rPr>
        <w:t>'</w:t>
      </w:r>
      <w:r w:rsidR="00842AFF">
        <w:rPr>
          <w:rFonts w:ascii="David" w:hAnsi="David"/>
          <w:rtl/>
        </w:rPr>
        <w:t xml:space="preserve"> או המנוח ג</w:t>
      </w:r>
      <w:r w:rsidR="00842AFF">
        <w:rPr>
          <w:rFonts w:ascii="David" w:hAnsi="David" w:hint="cs"/>
          <w:rtl/>
        </w:rPr>
        <w:t>'</w:t>
      </w:r>
      <w:r>
        <w:rPr>
          <w:rFonts w:ascii="David" w:hAnsi="David"/>
          <w:rtl/>
        </w:rPr>
        <w:t xml:space="preserve">. </w:t>
      </w:r>
    </w:p>
    <w:p w:rsidR="00F626CB" w:rsidRDefault="00F626CB" w:rsidP="00F626CB">
      <w:pPr>
        <w:pStyle w:val="ac"/>
        <w:spacing w:line="360" w:lineRule="auto"/>
        <w:jc w:val="both"/>
        <w:rPr>
          <w:rFonts w:ascii="David" w:hAnsi="David"/>
        </w:rPr>
      </w:pPr>
    </w:p>
    <w:p w:rsidR="00F626CB" w:rsidRDefault="00F626CB" w:rsidP="00F626CB">
      <w:pPr>
        <w:pStyle w:val="ac"/>
        <w:spacing w:line="360" w:lineRule="auto"/>
        <w:jc w:val="both"/>
        <w:rPr>
          <w:rFonts w:ascii="David" w:hAnsi="David"/>
          <w:rtl/>
        </w:rPr>
      </w:pPr>
      <w:r>
        <w:rPr>
          <w:rFonts w:ascii="David" w:hAnsi="David"/>
          <w:rtl/>
        </w:rPr>
        <w:t>לדידם של התובעים, הואיל ועניין דומה נדון בהליך קודם תמ"ש 19760</w:t>
      </w:r>
      <w:r w:rsidR="00B30A9F">
        <w:rPr>
          <w:rFonts w:ascii="David" w:hAnsi="David"/>
          <w:rtl/>
        </w:rPr>
        <w:t>-04-18  שם הוכרה אבהותו של ג</w:t>
      </w:r>
      <w:r w:rsidR="00B30A9F">
        <w:rPr>
          <w:rFonts w:ascii="David" w:hAnsi="David" w:hint="cs"/>
          <w:rtl/>
        </w:rPr>
        <w:t>'</w:t>
      </w:r>
      <w:r w:rsidR="00B30A9F">
        <w:rPr>
          <w:rFonts w:ascii="David" w:hAnsi="David"/>
          <w:rtl/>
        </w:rPr>
        <w:t xml:space="preserve"> ז"ל כלפי מר ב</w:t>
      </w:r>
      <w:r w:rsidR="00B30A9F">
        <w:rPr>
          <w:rFonts w:ascii="David" w:hAnsi="David" w:hint="cs"/>
          <w:rtl/>
        </w:rPr>
        <w:t>.א.</w:t>
      </w:r>
      <w:r>
        <w:rPr>
          <w:rFonts w:ascii="David" w:hAnsi="David"/>
          <w:rtl/>
        </w:rPr>
        <w:t>, הרי שיש בפסק הדין בהליך האחר משום השתק פלוגתא ביחס להרכב המשפ</w:t>
      </w:r>
      <w:r w:rsidR="00B30A9F">
        <w:rPr>
          <w:rFonts w:ascii="David" w:hAnsi="David"/>
          <w:rtl/>
        </w:rPr>
        <w:t>חתי ולמקום מגוריו של המנוח ס</w:t>
      </w:r>
      <w:r w:rsidR="00B30A9F">
        <w:rPr>
          <w:rFonts w:ascii="David" w:hAnsi="David" w:hint="cs"/>
          <w:rtl/>
        </w:rPr>
        <w:t>'</w:t>
      </w:r>
      <w:r>
        <w:rPr>
          <w:rFonts w:ascii="David" w:hAnsi="David"/>
          <w:rtl/>
        </w:rPr>
        <w:t xml:space="preserve"> בטרם עלייתו ארצה, כפי שנקבע במסגרתו. לשיטתם, מכלול הראיות ובהן תעו</w:t>
      </w:r>
      <w:r w:rsidR="00B30A9F">
        <w:rPr>
          <w:rFonts w:ascii="David" w:hAnsi="David"/>
          <w:rtl/>
        </w:rPr>
        <w:t>דת לידה של מ</w:t>
      </w:r>
      <w:r w:rsidR="00B30A9F">
        <w:rPr>
          <w:rFonts w:ascii="David" w:hAnsi="David" w:hint="cs"/>
          <w:rtl/>
        </w:rPr>
        <w:t>'</w:t>
      </w:r>
      <w:r>
        <w:rPr>
          <w:rFonts w:ascii="David" w:hAnsi="David"/>
          <w:rtl/>
        </w:rPr>
        <w:t xml:space="preserve">  ה</w:t>
      </w:r>
      <w:r w:rsidR="00B30A9F">
        <w:rPr>
          <w:rFonts w:ascii="David" w:hAnsi="David"/>
          <w:rtl/>
        </w:rPr>
        <w:t>כוללת את נתוני עיר הולדתו נ</w:t>
      </w:r>
      <w:r w:rsidR="00B30A9F">
        <w:rPr>
          <w:rFonts w:ascii="David" w:hAnsi="David" w:hint="cs"/>
          <w:rtl/>
        </w:rPr>
        <w:t>'</w:t>
      </w:r>
      <w:r>
        <w:rPr>
          <w:rFonts w:ascii="David" w:hAnsi="David"/>
          <w:rtl/>
        </w:rPr>
        <w:t xml:space="preserve"> ברוסיה</w:t>
      </w:r>
      <w:r w:rsidR="00B30A9F">
        <w:rPr>
          <w:rFonts w:ascii="David" w:hAnsi="David"/>
          <w:rtl/>
        </w:rPr>
        <w:t>, זהה לעיר בה התגורר המנוח ס</w:t>
      </w:r>
      <w:r w:rsidR="00B30A9F">
        <w:rPr>
          <w:rFonts w:ascii="David" w:hAnsi="David" w:hint="cs"/>
          <w:rtl/>
        </w:rPr>
        <w:t>'</w:t>
      </w:r>
      <w:r>
        <w:rPr>
          <w:rFonts w:ascii="David" w:hAnsi="David"/>
          <w:rtl/>
        </w:rPr>
        <w:t xml:space="preserve"> ויש בכך </w:t>
      </w:r>
      <w:r w:rsidR="00B30A9F">
        <w:rPr>
          <w:rFonts w:ascii="David" w:hAnsi="David"/>
          <w:rtl/>
        </w:rPr>
        <w:t>לקשור קשרי אבהות בין המנוח ס</w:t>
      </w:r>
      <w:r w:rsidR="00B30A9F">
        <w:rPr>
          <w:rFonts w:ascii="David" w:hAnsi="David" w:hint="cs"/>
          <w:rtl/>
        </w:rPr>
        <w:t>'</w:t>
      </w:r>
      <w:r w:rsidR="00B30A9F">
        <w:rPr>
          <w:rFonts w:ascii="David" w:hAnsi="David"/>
          <w:rtl/>
        </w:rPr>
        <w:t xml:space="preserve"> למ</w:t>
      </w:r>
      <w:r w:rsidR="00B30A9F">
        <w:rPr>
          <w:rFonts w:ascii="David" w:hAnsi="David" w:hint="cs"/>
          <w:rtl/>
        </w:rPr>
        <w:t>'</w:t>
      </w:r>
      <w:r>
        <w:rPr>
          <w:rFonts w:ascii="David" w:hAnsi="David"/>
          <w:rtl/>
        </w:rPr>
        <w:t>.</w:t>
      </w:r>
    </w:p>
    <w:p w:rsidR="00F626CB" w:rsidRDefault="00F626CB" w:rsidP="00F626CB">
      <w:pPr>
        <w:pStyle w:val="ac"/>
        <w:spacing w:line="360" w:lineRule="auto"/>
        <w:jc w:val="both"/>
        <w:rPr>
          <w:rFonts w:ascii="David" w:hAnsi="David"/>
          <w:rtl/>
        </w:rPr>
      </w:pPr>
    </w:p>
    <w:p w:rsidR="00F626CB" w:rsidRDefault="00F626CB" w:rsidP="00B30A9F">
      <w:pPr>
        <w:pStyle w:val="ac"/>
        <w:spacing w:line="360" w:lineRule="auto"/>
        <w:jc w:val="both"/>
        <w:rPr>
          <w:rFonts w:ascii="David" w:hAnsi="David"/>
          <w:rtl/>
        </w:rPr>
      </w:pPr>
      <w:r>
        <w:rPr>
          <w:rFonts w:ascii="David" w:hAnsi="David"/>
          <w:rtl/>
        </w:rPr>
        <w:t>ע</w:t>
      </w:r>
      <w:r w:rsidR="00B30A9F">
        <w:rPr>
          <w:rFonts w:ascii="David" w:hAnsi="David"/>
          <w:rtl/>
        </w:rPr>
        <w:t xml:space="preserve">וד נטען, כי על פי רשומה מוסדית </w:t>
      </w:r>
      <w:r w:rsidR="00B30A9F">
        <w:rPr>
          <w:rFonts w:ascii="David" w:hAnsi="David" w:hint="cs"/>
          <w:rtl/>
        </w:rPr>
        <w:t xml:space="preserve">מ </w:t>
      </w:r>
      <w:r w:rsidR="00B30A9F">
        <w:rPr>
          <w:rFonts w:ascii="David" w:hAnsi="David" w:hint="cs"/>
        </w:rPr>
        <w:t>XXX</w:t>
      </w:r>
      <w:r w:rsidR="00B30A9F">
        <w:rPr>
          <w:rFonts w:ascii="David" w:hAnsi="David" w:hint="cs"/>
          <w:rtl/>
        </w:rPr>
        <w:t xml:space="preserve"> </w:t>
      </w:r>
      <w:r>
        <w:rPr>
          <w:rFonts w:ascii="David" w:hAnsi="David"/>
          <w:rtl/>
        </w:rPr>
        <w:t xml:space="preserve">חברה לביטוח </w:t>
      </w:r>
      <w:r w:rsidR="00B30A9F">
        <w:rPr>
          <w:rFonts w:ascii="David" w:hAnsi="David"/>
          <w:rtl/>
        </w:rPr>
        <w:t>בע"מ, מינה המנוח את אמו של מ</w:t>
      </w:r>
      <w:r w:rsidR="00B30A9F">
        <w:rPr>
          <w:rFonts w:ascii="David" w:hAnsi="David" w:hint="cs"/>
          <w:rtl/>
        </w:rPr>
        <w:t xml:space="preserve">' </w:t>
      </w:r>
      <w:r>
        <w:rPr>
          <w:rFonts w:ascii="David" w:hAnsi="David"/>
          <w:rtl/>
        </w:rPr>
        <w:t xml:space="preserve">כמוטבת לחסכונותיו ואף הגדיר את מעמדה כ"אישה" וגם בכך יש להצביע על קשר של הורות בין השניים.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התובעים קובלים על התנהלות ב"כ היועמ"ש, שלדידם יצר סחבת בהליך ועמד בתחילה על קיום הליך של שמיעת ראיות. זאת על אף מסקנות חוות דעת המעבדה; הרשומות המוסדיות שהוצגו והממצאים שנקבעו בהליך קודם, שהיה בכל אלו די כדי לאפשר הכרעה  בה</w:t>
      </w:r>
      <w:r w:rsidR="00B30A9F">
        <w:rPr>
          <w:rFonts w:ascii="David" w:hAnsi="David"/>
          <w:rtl/>
        </w:rPr>
        <w:t>ליך מזמן.  התובעים ציינו כי מ</w:t>
      </w:r>
      <w:r w:rsidR="00B30A9F">
        <w:rPr>
          <w:rFonts w:ascii="David" w:hAnsi="David" w:hint="cs"/>
          <w:rtl/>
        </w:rPr>
        <w:t>'</w:t>
      </w:r>
      <w:r>
        <w:rPr>
          <w:rFonts w:ascii="David" w:hAnsi="David"/>
          <w:rtl/>
        </w:rPr>
        <w:t xml:space="preserve"> מוסיף לשהות ברוסיה בתקופת מלחמה השוררת גם שם ונמנע ממנו לעלות ארצה כל עוד לא הוכרע ההליך. </w:t>
      </w:r>
    </w:p>
    <w:p w:rsidR="00F626CB" w:rsidRDefault="00F626CB" w:rsidP="00F626CB">
      <w:pPr>
        <w:spacing w:line="360" w:lineRule="auto"/>
        <w:jc w:val="both"/>
        <w:rPr>
          <w:rFonts w:ascii="David" w:hAnsi="David"/>
          <w:rtl/>
        </w:rPr>
      </w:pPr>
    </w:p>
    <w:p w:rsidR="00F626CB" w:rsidRDefault="00F626CB" w:rsidP="00F626CB">
      <w:pPr>
        <w:pStyle w:val="ac"/>
        <w:numPr>
          <w:ilvl w:val="0"/>
          <w:numId w:val="6"/>
        </w:numPr>
        <w:spacing w:line="360" w:lineRule="auto"/>
        <w:jc w:val="both"/>
        <w:rPr>
          <w:rFonts w:ascii="David" w:hAnsi="David"/>
        </w:rPr>
      </w:pPr>
      <w:r>
        <w:rPr>
          <w:rFonts w:ascii="David" w:hAnsi="David"/>
          <w:rtl/>
        </w:rPr>
        <w:t>ב"כ היועמ"ש עותר לדחיית התובענה. לשיטתו, התובעים לא עמדו בנטל ההוכחה להוכחת תביעתם וכל שניתן להצהיר עליו</w:t>
      </w:r>
      <w:r w:rsidR="00B30A9F">
        <w:rPr>
          <w:rFonts w:ascii="David" w:hAnsi="David"/>
          <w:rtl/>
        </w:rPr>
        <w:t xml:space="preserve"> הוא על קשר של דודות בין א</w:t>
      </w:r>
      <w:r w:rsidR="00B30A9F">
        <w:rPr>
          <w:rFonts w:ascii="David" w:hAnsi="David" w:hint="cs"/>
          <w:rtl/>
        </w:rPr>
        <w:t>'</w:t>
      </w:r>
      <w:r w:rsidR="00B30A9F">
        <w:rPr>
          <w:rFonts w:ascii="David" w:hAnsi="David"/>
          <w:rtl/>
        </w:rPr>
        <w:t xml:space="preserve"> למ</w:t>
      </w:r>
      <w:r w:rsidR="00B30A9F">
        <w:rPr>
          <w:rFonts w:ascii="David" w:hAnsi="David" w:hint="cs"/>
          <w:rtl/>
        </w:rPr>
        <w:t>'</w:t>
      </w:r>
      <w:r>
        <w:rPr>
          <w:rFonts w:ascii="David" w:hAnsi="David"/>
          <w:rtl/>
        </w:rPr>
        <w:t xml:space="preserve"> על פי מסקנות חוות דעת המעבדה. </w:t>
      </w:r>
    </w:p>
    <w:p w:rsidR="00F626CB" w:rsidRDefault="00F626CB" w:rsidP="00F626CB">
      <w:pPr>
        <w:pStyle w:val="ac"/>
        <w:spacing w:line="360" w:lineRule="auto"/>
        <w:jc w:val="both"/>
        <w:rPr>
          <w:rFonts w:ascii="David" w:hAnsi="David"/>
        </w:rPr>
      </w:pPr>
    </w:p>
    <w:p w:rsidR="00F626CB" w:rsidRDefault="00F626CB" w:rsidP="00F626CB">
      <w:pPr>
        <w:pStyle w:val="ac"/>
        <w:spacing w:line="360" w:lineRule="auto"/>
        <w:jc w:val="both"/>
        <w:rPr>
          <w:rFonts w:ascii="David" w:hAnsi="David"/>
          <w:rtl/>
        </w:rPr>
      </w:pPr>
      <w:r>
        <w:rPr>
          <w:rFonts w:ascii="David" w:hAnsi="David"/>
          <w:rtl/>
        </w:rPr>
        <w:t xml:space="preserve">עוד לעמדת ב"כ היועמ"ש, לא ניתן להיעתר לסעד אשר משמעותו שינוי פרטי מרשם של נפטר ללא בדיקה גנטית חד משמעית.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ב"כ היועמ"ש מבקש לערוך הבחנה בין פסק הדין שנ</w:t>
      </w:r>
      <w:r w:rsidR="00B30A9F">
        <w:rPr>
          <w:rFonts w:ascii="David" w:hAnsi="David"/>
          <w:rtl/>
        </w:rPr>
        <w:t>יתן בהליך קודם הנוגע למנוח ג</w:t>
      </w:r>
      <w:r w:rsidR="00B30A9F">
        <w:rPr>
          <w:rFonts w:ascii="David" w:hAnsi="David" w:hint="cs"/>
          <w:rtl/>
        </w:rPr>
        <w:t>'</w:t>
      </w:r>
      <w:r>
        <w:rPr>
          <w:rFonts w:ascii="David" w:hAnsi="David"/>
          <w:rtl/>
        </w:rPr>
        <w:t xml:space="preserve"> </w:t>
      </w:r>
      <w:r>
        <w:rPr>
          <w:rFonts w:ascii="David" w:hAnsi="David"/>
          <w:u w:val="single"/>
          <w:rtl/>
        </w:rPr>
        <w:t>שאינו אזרח ישראלי</w:t>
      </w:r>
      <w:r>
        <w:rPr>
          <w:rFonts w:ascii="David" w:hAnsi="David"/>
          <w:rtl/>
        </w:rPr>
        <w:t xml:space="preserve"> לעומת המנוח דכאן </w:t>
      </w:r>
      <w:r>
        <w:rPr>
          <w:rFonts w:ascii="David" w:hAnsi="David"/>
          <w:u w:val="single"/>
          <w:rtl/>
        </w:rPr>
        <w:t>שהינו אזרח ישראלי</w:t>
      </w:r>
      <w:r>
        <w:rPr>
          <w:rFonts w:ascii="David" w:hAnsi="David"/>
          <w:rtl/>
        </w:rPr>
        <w:t>, עת לקבלת התביעה בהכרח תהא השלכה על הרישום במשרד הפנים. כל זאת, שעה שרף ההוכחה כשבמנוח עסקינן הינו מוגבר בהתאם להנחיות היועמ"ש ומשרד הפנים ה</w:t>
      </w:r>
      <w:r w:rsidR="00B30A9F">
        <w:rPr>
          <w:rFonts w:ascii="David" w:hAnsi="David"/>
          <w:rtl/>
        </w:rPr>
        <w:t>ינו מוגבר ולא ניתן לקבוע כי מ</w:t>
      </w:r>
      <w:r w:rsidR="00B30A9F">
        <w:rPr>
          <w:rFonts w:ascii="David" w:hAnsi="David" w:hint="cs"/>
          <w:rtl/>
        </w:rPr>
        <w:t>'</w:t>
      </w:r>
      <w:r w:rsidR="00B30A9F">
        <w:rPr>
          <w:rFonts w:ascii="David" w:hAnsi="David"/>
          <w:rtl/>
        </w:rPr>
        <w:t xml:space="preserve"> הוא בנו של המנוח ס</w:t>
      </w:r>
      <w:r w:rsidR="00B30A9F">
        <w:rPr>
          <w:rFonts w:ascii="David" w:hAnsi="David" w:hint="cs"/>
          <w:rtl/>
        </w:rPr>
        <w:t>'</w:t>
      </w:r>
      <w:r>
        <w:rPr>
          <w:rFonts w:ascii="David" w:hAnsi="David"/>
          <w:rtl/>
        </w:rPr>
        <w:t xml:space="preserve"> ולא בנ</w:t>
      </w:r>
      <w:r w:rsidR="00B30A9F">
        <w:rPr>
          <w:rFonts w:ascii="David" w:hAnsi="David"/>
          <w:rtl/>
        </w:rPr>
        <w:t>ו של המנוח ג</w:t>
      </w:r>
      <w:r w:rsidR="00B30A9F">
        <w:rPr>
          <w:rFonts w:ascii="David" w:hAnsi="David" w:hint="cs"/>
          <w:rtl/>
        </w:rPr>
        <w:t xml:space="preserve">'. </w:t>
      </w:r>
      <w:r>
        <w:rPr>
          <w:rFonts w:ascii="David" w:hAnsi="David"/>
          <w:rtl/>
        </w:rPr>
        <w:t xml:space="preserve"> </w:t>
      </w:r>
    </w:p>
    <w:p w:rsidR="00F626CB" w:rsidRDefault="00F626CB" w:rsidP="00F626CB">
      <w:pPr>
        <w:pStyle w:val="ac"/>
        <w:spacing w:line="360" w:lineRule="auto"/>
        <w:jc w:val="both"/>
        <w:rPr>
          <w:rFonts w:ascii="David" w:hAnsi="David"/>
          <w:rtl/>
        </w:rPr>
      </w:pPr>
    </w:p>
    <w:p w:rsidR="00F626CB" w:rsidRDefault="00F626CB" w:rsidP="002B22EB">
      <w:pPr>
        <w:pStyle w:val="ac"/>
        <w:spacing w:line="360" w:lineRule="auto"/>
        <w:jc w:val="both"/>
        <w:rPr>
          <w:rFonts w:ascii="David" w:hAnsi="David"/>
          <w:rtl/>
        </w:rPr>
      </w:pPr>
      <w:r>
        <w:rPr>
          <w:rFonts w:ascii="David" w:hAnsi="David"/>
          <w:rtl/>
        </w:rPr>
        <w:t>כך גם, לעמדת ב"כ היועמ"ש אין מק</w:t>
      </w:r>
      <w:r w:rsidR="00B30A9F">
        <w:rPr>
          <w:rFonts w:ascii="David" w:hAnsi="David"/>
          <w:rtl/>
        </w:rPr>
        <w:t>ום להסתמך על תעודת הלידה של מ</w:t>
      </w:r>
      <w:r w:rsidR="00B30A9F">
        <w:rPr>
          <w:rFonts w:ascii="David" w:hAnsi="David" w:hint="cs"/>
          <w:rtl/>
        </w:rPr>
        <w:t>'</w:t>
      </w:r>
      <w:r>
        <w:rPr>
          <w:rFonts w:ascii="David" w:hAnsi="David"/>
          <w:rtl/>
        </w:rPr>
        <w:t xml:space="preserve">  ל</w:t>
      </w:r>
      <w:r w:rsidR="00B30A9F">
        <w:rPr>
          <w:rFonts w:ascii="David" w:hAnsi="David"/>
          <w:rtl/>
        </w:rPr>
        <w:t>צורך הוכחת קשר אבהות למנוח ס</w:t>
      </w:r>
      <w:r w:rsidR="00B30A9F">
        <w:rPr>
          <w:rFonts w:ascii="David" w:hAnsi="David" w:hint="cs"/>
          <w:rtl/>
        </w:rPr>
        <w:t>'</w:t>
      </w:r>
      <w:r>
        <w:rPr>
          <w:rFonts w:ascii="David" w:hAnsi="David"/>
          <w:rtl/>
        </w:rPr>
        <w:t xml:space="preserve"> שעה שבתעודת הלידה מופיע מעמדה האישי של אמו כנשואה ונרשם כאביו דווקא בעלה של </w:t>
      </w:r>
      <w:r w:rsidR="00B30A9F">
        <w:rPr>
          <w:rFonts w:ascii="David" w:hAnsi="David"/>
          <w:rtl/>
        </w:rPr>
        <w:t>אמו באותה עת, ד</w:t>
      </w:r>
      <w:r w:rsidR="00B30A9F">
        <w:rPr>
          <w:rFonts w:ascii="David" w:hAnsi="David" w:hint="cs"/>
          <w:rtl/>
        </w:rPr>
        <w:t>.מ.</w:t>
      </w:r>
      <w:r>
        <w:rPr>
          <w:rFonts w:ascii="David" w:hAnsi="David"/>
          <w:rtl/>
        </w:rPr>
        <w:t xml:space="preserve"> ז"ל, ללא שהונחה חוות דעת הדין הרוסי לעניין הרישום. זאת, גם בשים לב שמדובר ממילא בתעודת לידה שאינה מאומתת ומתורגמת כדין. כך גם, הטענה של התובעים בדבר מרחק בין הערים בהם התגוררו במנוח ואחיו המנוח </w:t>
      </w:r>
      <w:r w:rsidR="002B22EB">
        <w:rPr>
          <w:rFonts w:ascii="David" w:hAnsi="David" w:hint="cs"/>
          <w:rtl/>
        </w:rPr>
        <w:t>ג'</w:t>
      </w:r>
      <w:r>
        <w:rPr>
          <w:rFonts w:ascii="David" w:hAnsi="David"/>
          <w:rtl/>
        </w:rPr>
        <w:t xml:space="preserve"> לא הוכחה, שעה שהתובעים משכו את תצהיריהם ו-ויתרו על דיון לשמיעת ראיות. </w:t>
      </w:r>
    </w:p>
    <w:p w:rsidR="00F626CB" w:rsidRDefault="00F626CB" w:rsidP="00F626CB">
      <w:pPr>
        <w:pStyle w:val="ac"/>
        <w:spacing w:line="360" w:lineRule="auto"/>
        <w:jc w:val="both"/>
        <w:rPr>
          <w:rFonts w:ascii="David" w:hAnsi="David"/>
          <w:b/>
          <w:bCs/>
          <w:u w:val="single"/>
          <w:rtl/>
        </w:rPr>
      </w:pPr>
    </w:p>
    <w:p w:rsidR="00F626CB" w:rsidRDefault="00F626CB" w:rsidP="00F626CB">
      <w:pPr>
        <w:pStyle w:val="ac"/>
        <w:spacing w:line="360" w:lineRule="auto"/>
        <w:jc w:val="both"/>
        <w:rPr>
          <w:rFonts w:ascii="David" w:hAnsi="David"/>
          <w:b/>
          <w:bCs/>
          <w:u w:val="single"/>
          <w:rtl/>
        </w:rPr>
      </w:pPr>
      <w:r>
        <w:rPr>
          <w:rFonts w:ascii="David" w:hAnsi="David"/>
          <w:b/>
          <w:bCs/>
          <w:u w:val="single"/>
          <w:rtl/>
        </w:rPr>
        <w:t>דיון והכרעה</w:t>
      </w:r>
    </w:p>
    <w:p w:rsidR="00F626CB" w:rsidRDefault="00F626CB" w:rsidP="00F626CB">
      <w:pPr>
        <w:pStyle w:val="ac"/>
        <w:spacing w:line="360" w:lineRule="auto"/>
        <w:jc w:val="both"/>
        <w:rPr>
          <w:rFonts w:ascii="David" w:hAnsi="David"/>
          <w:b/>
          <w:bCs/>
          <w:u w:val="single"/>
          <w:rtl/>
        </w:rPr>
      </w:pPr>
    </w:p>
    <w:p w:rsidR="00F626CB" w:rsidRDefault="00F626CB" w:rsidP="00F626CB">
      <w:pPr>
        <w:pStyle w:val="ac"/>
        <w:numPr>
          <w:ilvl w:val="0"/>
          <w:numId w:val="6"/>
        </w:numPr>
        <w:spacing w:line="360" w:lineRule="auto"/>
        <w:jc w:val="both"/>
        <w:rPr>
          <w:rFonts w:ascii="David" w:hAnsi="David"/>
        </w:rPr>
      </w:pPr>
      <w:r>
        <w:rPr>
          <w:rFonts w:ascii="David" w:hAnsi="David"/>
          <w:rtl/>
        </w:rPr>
        <w:t xml:space="preserve">אין כפי הנראה מחלוקת בדבר הקרבה המשפחתית בין התובעים, שעה שאין חולק בין הצדדים כי על פי מסקנות חוות דעת המעבדה לסיווג רקמות שהונחה בתיק, קיים קשר של </w:t>
      </w:r>
      <w:r w:rsidR="00DE7B10">
        <w:rPr>
          <w:rFonts w:ascii="David" w:hAnsi="David"/>
          <w:rtl/>
        </w:rPr>
        <w:lastRenderedPageBreak/>
        <w:t>דודות מצד אב בין א</w:t>
      </w:r>
      <w:r w:rsidR="00DE7B10">
        <w:rPr>
          <w:rFonts w:ascii="David" w:hAnsi="David" w:hint="cs"/>
          <w:rtl/>
        </w:rPr>
        <w:t>'</w:t>
      </w:r>
      <w:r w:rsidR="00DE7B10">
        <w:rPr>
          <w:rFonts w:ascii="David" w:hAnsi="David"/>
          <w:rtl/>
        </w:rPr>
        <w:t xml:space="preserve"> למ</w:t>
      </w:r>
      <w:r w:rsidR="00DE7B10">
        <w:rPr>
          <w:rFonts w:ascii="David" w:hAnsi="David" w:hint="cs"/>
          <w:rtl/>
        </w:rPr>
        <w:t>'</w:t>
      </w:r>
      <w:r>
        <w:rPr>
          <w:rFonts w:ascii="David" w:hAnsi="David"/>
          <w:rtl/>
        </w:rPr>
        <w:t xml:space="preserve">.  ב"כ היועמ"ש אינו מתנגד למתן פסק דין הצהרתי בעניין. עם זאת, העמדות </w:t>
      </w:r>
      <w:r w:rsidR="00DE7B10">
        <w:rPr>
          <w:rFonts w:ascii="David" w:hAnsi="David"/>
          <w:rtl/>
        </w:rPr>
        <w:t>חלוקות באשר לשאלה האם הוכח שמ</w:t>
      </w:r>
      <w:r w:rsidR="00DE7B10">
        <w:rPr>
          <w:rFonts w:ascii="David" w:hAnsi="David" w:hint="cs"/>
          <w:rtl/>
        </w:rPr>
        <w:t>'</w:t>
      </w:r>
      <w:r w:rsidR="00DE7B10">
        <w:rPr>
          <w:rFonts w:ascii="David" w:hAnsi="David"/>
          <w:rtl/>
        </w:rPr>
        <w:t xml:space="preserve"> הינו בנו של ס</w:t>
      </w:r>
      <w:r w:rsidR="00DE7B10">
        <w:rPr>
          <w:rFonts w:ascii="David" w:hAnsi="David" w:hint="cs"/>
          <w:rtl/>
        </w:rPr>
        <w:t>'</w:t>
      </w:r>
      <w:r>
        <w:rPr>
          <w:rFonts w:ascii="David" w:hAnsi="David"/>
          <w:rtl/>
        </w:rPr>
        <w:t xml:space="preserve"> המנ</w:t>
      </w:r>
      <w:r w:rsidR="00DE7B10">
        <w:rPr>
          <w:rFonts w:ascii="David" w:hAnsi="David"/>
          <w:rtl/>
        </w:rPr>
        <w:t>וח דווקא ולא של אחיו הנוסף ג</w:t>
      </w:r>
      <w:r w:rsidR="00DE7B10">
        <w:rPr>
          <w:rFonts w:ascii="David" w:hAnsi="David" w:hint="cs"/>
          <w:rtl/>
        </w:rPr>
        <w:t>'</w:t>
      </w:r>
      <w:r>
        <w:rPr>
          <w:rFonts w:ascii="David" w:hAnsi="David"/>
          <w:rtl/>
        </w:rPr>
        <w:t xml:space="preserve"> ז"ל.  </w:t>
      </w:r>
    </w:p>
    <w:p w:rsidR="00F626CB" w:rsidRDefault="00F626CB" w:rsidP="00F626CB">
      <w:pPr>
        <w:pStyle w:val="ac"/>
        <w:spacing w:line="360" w:lineRule="auto"/>
        <w:jc w:val="both"/>
        <w:rPr>
          <w:rFonts w:ascii="David" w:hAnsi="David"/>
        </w:rPr>
      </w:pPr>
    </w:p>
    <w:p w:rsidR="00F626CB" w:rsidRDefault="00F626CB" w:rsidP="00F626CB">
      <w:pPr>
        <w:pStyle w:val="ac"/>
        <w:spacing w:line="360" w:lineRule="auto"/>
        <w:jc w:val="both"/>
        <w:rPr>
          <w:rFonts w:ascii="David" w:hAnsi="David"/>
          <w:rtl/>
        </w:rPr>
      </w:pPr>
      <w:r>
        <w:rPr>
          <w:rFonts w:ascii="David" w:hAnsi="David"/>
          <w:rtl/>
        </w:rPr>
        <w:t>ואמנם, בראי תוצאות הבדיקה לסיווג רקמות הנוגעת לקשר דודות בלבד בין הת</w:t>
      </w:r>
      <w:r w:rsidR="00DE7B10">
        <w:rPr>
          <w:rFonts w:ascii="David" w:hAnsi="David"/>
          <w:rtl/>
        </w:rPr>
        <w:t>ובעים, הרי שעל פני הדברים  מ</w:t>
      </w:r>
      <w:r w:rsidR="00DE7B10">
        <w:rPr>
          <w:rFonts w:ascii="David" w:hAnsi="David" w:hint="cs"/>
          <w:rtl/>
        </w:rPr>
        <w:t>'</w:t>
      </w:r>
      <w:r>
        <w:rPr>
          <w:rFonts w:ascii="David" w:hAnsi="David"/>
          <w:rtl/>
        </w:rPr>
        <w:t xml:space="preserve"> עשוי להיות בנו של כל אחד משני המנוחים. </w:t>
      </w:r>
    </w:p>
    <w:p w:rsidR="00F626CB" w:rsidRDefault="00F626CB" w:rsidP="00F626CB">
      <w:pPr>
        <w:pStyle w:val="ac"/>
        <w:spacing w:line="360" w:lineRule="auto"/>
        <w:jc w:val="both"/>
        <w:rPr>
          <w:rFonts w:ascii="David" w:hAnsi="David"/>
          <w:rtl/>
        </w:rPr>
      </w:pPr>
    </w:p>
    <w:p w:rsidR="00F626CB" w:rsidRDefault="00F626CB" w:rsidP="00F626CB">
      <w:pPr>
        <w:pStyle w:val="ac"/>
        <w:numPr>
          <w:ilvl w:val="0"/>
          <w:numId w:val="6"/>
        </w:numPr>
        <w:spacing w:line="360" w:lineRule="auto"/>
        <w:jc w:val="both"/>
        <w:rPr>
          <w:rFonts w:ascii="David" w:hAnsi="David"/>
        </w:rPr>
      </w:pPr>
      <w:r>
        <w:rPr>
          <w:rFonts w:ascii="David" w:hAnsi="David"/>
          <w:rtl/>
        </w:rPr>
        <w:t xml:space="preserve">לאחר שעיינתי במכלול החומר המצוי בתיק, בלא להביא בחשבון את כלל תצהירי התובעים שהוצאו באופן מוסכם מהתיק ולאחר ששקלתי את טענות הצדדים, הגעתי לכלל מסקנה כי בנסיבותיו הספציפיות של ההליך שלפניי – לרבות נסיבותיו הדיוניות כמפורט לעיל –שעה שלכל היותר כפות המאזניים בשאלת ההורות מעויינות, לא ניתן להיעתר לסעד הקונקרטי המבוקש בתובענה, במובחן מהצהרה בדבר דודות. לצד זאת, ובמובחן למשל מהליכים אזרחיים גרידא, נוכח נפקותה הפוטנציאלית של דחיית התובענה במקרה שלפניי, סעד זה (שהוא הסעד המתבקש מקום בו כפות המאזניים מעויינות בהליך </w:t>
      </w:r>
      <w:r w:rsidR="00DE7B10">
        <w:rPr>
          <w:rFonts w:ascii="David" w:hAnsi="David"/>
          <w:rtl/>
        </w:rPr>
        <w:t>אזרחי) עלול לפגוע ב</w:t>
      </w:r>
      <w:r w:rsidR="00DE7B10">
        <w:rPr>
          <w:rFonts w:ascii="David" w:hAnsi="David" w:hint="cs"/>
          <w:rtl/>
        </w:rPr>
        <w:t>מ'</w:t>
      </w:r>
      <w:r>
        <w:rPr>
          <w:rFonts w:ascii="David" w:hAnsi="David"/>
          <w:rtl/>
        </w:rPr>
        <w:t xml:space="preserve"> באופן העולה על הנדרש. עת דרך הילוכם הדיונית של הצדדים היא שהובילה להכרעה במצב של חסר ראייתי משמעותי, דומני שהתרופה ההולמת במקרה הנקודתי שלפני הוא במחיקת התובענה וסיומו של ההליך, מבלי שיהא בכך כד</w:t>
      </w:r>
      <w:r w:rsidR="00DE7B10">
        <w:rPr>
          <w:rFonts w:ascii="David" w:hAnsi="David"/>
          <w:rtl/>
        </w:rPr>
        <w:t>י לסתום הגולל על האפשרות של מ</w:t>
      </w:r>
      <w:r w:rsidR="00DE7B10">
        <w:rPr>
          <w:rFonts w:ascii="David" w:hAnsi="David" w:hint="cs"/>
          <w:rtl/>
        </w:rPr>
        <w:t>'</w:t>
      </w:r>
      <w:r>
        <w:rPr>
          <w:rFonts w:ascii="David" w:hAnsi="David"/>
          <w:rtl/>
        </w:rPr>
        <w:t xml:space="preserve"> לעתור לסעד בעתיד. </w:t>
      </w:r>
    </w:p>
    <w:p w:rsidR="00F626CB" w:rsidRDefault="00F626CB" w:rsidP="00F626CB">
      <w:pPr>
        <w:pStyle w:val="ac"/>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tl/>
        </w:rPr>
      </w:pPr>
      <w:r>
        <w:rPr>
          <w:rFonts w:ascii="David" w:hAnsi="David"/>
          <w:rtl/>
        </w:rPr>
        <w:t xml:space="preserve">כידוע, ככלל בהליך אזרחי נדרש תובע להוכיח את גרסתו העולה מהעובדות המוצגות על ידו, ככזו המסתברת ומתקבלת יותר על הדעת מאשר גרסתו של הנתבע. מעבר לכך </w:t>
      </w:r>
      <w:r>
        <w:rPr>
          <w:rFonts w:ascii="David" w:hAnsi="David"/>
          <w:b/>
          <w:bCs/>
          <w:rtl/>
        </w:rPr>
        <w:t xml:space="preserve">"... הנושא בנטל השכנוע יכול לעמוד בנטל זה גם אם הביא רק ראיות לכאורה, וזאת כאשר יריבו לא הביא ראיות להפריך ולאזן את מאזן ההסתברויות" </w:t>
      </w:r>
      <w:r>
        <w:rPr>
          <w:rFonts w:ascii="David" w:hAnsi="David"/>
          <w:rtl/>
        </w:rPr>
        <w:t xml:space="preserve">(ראו: </w:t>
      </w:r>
      <w:hyperlink r:id="rId7" w:history="1">
        <w:r>
          <w:rPr>
            <w:rStyle w:val="Hyperlink"/>
            <w:rFonts w:ascii="David" w:hAnsi="David"/>
            <w:rtl/>
          </w:rPr>
          <w:t>ע"א 8385/09</w:t>
        </w:r>
      </w:hyperlink>
      <w:r>
        <w:rPr>
          <w:rFonts w:ascii="David" w:hAnsi="David"/>
          <w:rtl/>
        </w:rPr>
        <w:t xml:space="preserve"> </w:t>
      </w:r>
      <w:r>
        <w:rPr>
          <w:rFonts w:ascii="David" w:hAnsi="David"/>
          <w:bCs/>
          <w:rtl/>
        </w:rPr>
        <w:t>המועצה המקומית סאג'ור נ' סונול ישראל בע"מ</w:t>
      </w:r>
      <w:r>
        <w:rPr>
          <w:rFonts w:ascii="David" w:hAnsi="David"/>
          <w:rtl/>
        </w:rPr>
        <w:t xml:space="preserve">, פסקה 24 לפסק דינו של השופט </w:t>
      </w:r>
      <w:r>
        <w:rPr>
          <w:rFonts w:ascii="David" w:hAnsi="David"/>
          <w:b/>
          <w:rtl/>
        </w:rPr>
        <w:t>י' דנציגר</w:t>
      </w:r>
      <w:r>
        <w:rPr>
          <w:rFonts w:ascii="David" w:hAnsi="David"/>
          <w:rtl/>
        </w:rPr>
        <w:t xml:space="preserve"> [מצוי במאגרים המשפטיים; 9.5.2011]). </w:t>
      </w:r>
    </w:p>
    <w:p w:rsidR="00F626CB" w:rsidRDefault="00F626CB" w:rsidP="00F626CB">
      <w:pPr>
        <w:pStyle w:val="ac"/>
        <w:spacing w:line="360" w:lineRule="auto"/>
        <w:jc w:val="both"/>
        <w:rPr>
          <w:rFonts w:ascii="David" w:hAnsi="David"/>
          <w:rtl/>
        </w:rPr>
      </w:pPr>
    </w:p>
    <w:p w:rsidR="00F626CB" w:rsidRDefault="00F626CB" w:rsidP="00F626CB">
      <w:pPr>
        <w:pStyle w:val="ac"/>
        <w:numPr>
          <w:ilvl w:val="0"/>
          <w:numId w:val="6"/>
        </w:numPr>
        <w:spacing w:line="360" w:lineRule="auto"/>
        <w:jc w:val="both"/>
        <w:rPr>
          <w:rFonts w:ascii="David" w:hAnsi="David"/>
          <w:rtl/>
        </w:rPr>
      </w:pPr>
      <w:r>
        <w:rPr>
          <w:rFonts w:ascii="David" w:hAnsi="David"/>
          <w:rtl/>
        </w:rPr>
        <w:t>שעה שהצדדים הסכימו בין היתר, על הוצאת כלל תצהירי התובעים מהתיק, למעשה נותר התיק דל בראיות אף לכאורה, באופן שאינו מאפשר קבלת גרסת התובעים כעדיפה על התזה שהציג ב"כ הי</w:t>
      </w:r>
      <w:r w:rsidR="00DE7B10">
        <w:rPr>
          <w:rFonts w:ascii="David" w:hAnsi="David"/>
          <w:rtl/>
        </w:rPr>
        <w:t>ועמ"ש בדבר האפשרות המסתברת שמ</w:t>
      </w:r>
      <w:r w:rsidR="00DE7B10">
        <w:rPr>
          <w:rFonts w:ascii="David" w:hAnsi="David" w:hint="cs"/>
          <w:rtl/>
        </w:rPr>
        <w:t>'</w:t>
      </w:r>
      <w:r w:rsidR="00DE7B10">
        <w:rPr>
          <w:rFonts w:ascii="David" w:hAnsi="David"/>
          <w:rtl/>
        </w:rPr>
        <w:t xml:space="preserve"> הינו בנו של ג</w:t>
      </w:r>
      <w:r w:rsidR="00DE7B10">
        <w:rPr>
          <w:rFonts w:ascii="David" w:hAnsi="David" w:hint="cs"/>
          <w:rtl/>
        </w:rPr>
        <w:t>'</w:t>
      </w:r>
      <w:r>
        <w:rPr>
          <w:rFonts w:ascii="David" w:hAnsi="David"/>
          <w:rtl/>
        </w:rPr>
        <w:t xml:space="preserve"> המנוח. </w:t>
      </w:r>
    </w:p>
    <w:p w:rsidR="00F626CB" w:rsidRDefault="00F626CB" w:rsidP="00F626CB">
      <w:pPr>
        <w:spacing w:line="360" w:lineRule="auto"/>
        <w:jc w:val="both"/>
        <w:rPr>
          <w:rFonts w:ascii="David" w:hAnsi="David"/>
        </w:rPr>
      </w:pPr>
    </w:p>
    <w:p w:rsidR="00F626CB" w:rsidRDefault="00F626CB" w:rsidP="00F626CB">
      <w:pPr>
        <w:pStyle w:val="ac"/>
        <w:spacing w:line="360" w:lineRule="auto"/>
        <w:jc w:val="both"/>
        <w:rPr>
          <w:rFonts w:ascii="David" w:hAnsi="David"/>
          <w:rtl/>
        </w:rPr>
      </w:pPr>
      <w:r>
        <w:rPr>
          <w:rFonts w:ascii="David" w:hAnsi="David"/>
          <w:rtl/>
        </w:rPr>
        <w:lastRenderedPageBreak/>
        <w:t>השאלה המרכזית הינה, האם הוצגו על ידי התובעים שלפתחם נטל השכנוע ובהבאת הראיות, די ראיות במאזן ההסתברויות כ</w:t>
      </w:r>
      <w:r w:rsidR="00DE7B10">
        <w:rPr>
          <w:rFonts w:ascii="David" w:hAnsi="David"/>
          <w:rtl/>
        </w:rPr>
        <w:t>די  להוכיח אבהותו של המנוח ס</w:t>
      </w:r>
      <w:r w:rsidR="00DE7B10">
        <w:rPr>
          <w:rFonts w:ascii="David" w:hAnsi="David" w:hint="cs"/>
          <w:rtl/>
        </w:rPr>
        <w:t>'</w:t>
      </w:r>
      <w:r w:rsidR="00DE7B10">
        <w:rPr>
          <w:rFonts w:ascii="David" w:hAnsi="David"/>
          <w:rtl/>
        </w:rPr>
        <w:t xml:space="preserve"> דווקא כלפי מ</w:t>
      </w:r>
      <w:r w:rsidR="00DE7B10">
        <w:rPr>
          <w:rFonts w:ascii="David" w:hAnsi="David" w:hint="cs"/>
          <w:rtl/>
        </w:rPr>
        <w:t>'</w:t>
      </w:r>
      <w:r>
        <w:rPr>
          <w:rFonts w:ascii="David" w:hAnsi="David"/>
          <w:rtl/>
        </w:rPr>
        <w:t>? או האם הוצגו די ראיות שיש בהן</w:t>
      </w:r>
      <w:r w:rsidR="00DE7B10">
        <w:rPr>
          <w:rFonts w:ascii="David" w:hAnsi="David"/>
          <w:rtl/>
        </w:rPr>
        <w:t xml:space="preserve"> לשלול את אפשרות אבהותו של ג</w:t>
      </w:r>
      <w:r w:rsidR="00DE7B10">
        <w:rPr>
          <w:rFonts w:ascii="David" w:hAnsi="David" w:hint="cs"/>
          <w:rtl/>
        </w:rPr>
        <w:t>'</w:t>
      </w:r>
      <w:r>
        <w:rPr>
          <w:rFonts w:ascii="David" w:hAnsi="David"/>
          <w:rtl/>
        </w:rPr>
        <w:t xml:space="preserve"> המנוח כלפיו?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 xml:space="preserve">למסקנתי, התשובה לכך שלילית. </w:t>
      </w:r>
    </w:p>
    <w:p w:rsidR="00F626CB" w:rsidRDefault="00F626CB" w:rsidP="00F626CB">
      <w:pPr>
        <w:pStyle w:val="ac"/>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Pr>
      </w:pPr>
      <w:r>
        <w:rPr>
          <w:rFonts w:ascii="David" w:hAnsi="David"/>
          <w:rtl/>
        </w:rPr>
        <w:t>למעשה, משהצדדים הסכימו להוצאת כלל התצהירים שמטעם התובעים, הרי שעותרים הם להסתמך בתביעתם על ארבעה מסמכים עיקריים ואלו הם: א. חוות דעת המעבדה לסיווג רקמות בדבר קשר של דודות; נספחים שצורפו לכתב התביעה ובהם העתק תעודת הלידה של התובע  2 (שצורפה כנספח "5" לכ</w:t>
      </w:r>
      <w:r w:rsidR="00DE7B10">
        <w:rPr>
          <w:rFonts w:ascii="David" w:hAnsi="David"/>
          <w:rtl/>
        </w:rPr>
        <w:t>תב התביעה); רשומה מוסדית מ</w:t>
      </w:r>
      <w:r w:rsidR="00DE7B10">
        <w:rPr>
          <w:rFonts w:ascii="David" w:hAnsi="David" w:hint="cs"/>
          <w:rtl/>
        </w:rPr>
        <w:t xml:space="preserve"> </w:t>
      </w:r>
      <w:r w:rsidR="00DE7B10">
        <w:rPr>
          <w:rFonts w:ascii="David" w:hAnsi="David" w:hint="cs"/>
        </w:rPr>
        <w:t xml:space="preserve"> XXX</w:t>
      </w:r>
      <w:r>
        <w:rPr>
          <w:rFonts w:ascii="David" w:hAnsi="David"/>
          <w:rtl/>
        </w:rPr>
        <w:t>חברה לביטוח בע"מ ; ופסק הדין שניתן בהליך האחר.</w:t>
      </w:r>
    </w:p>
    <w:p w:rsidR="00F626CB" w:rsidRDefault="00F626CB" w:rsidP="00F626CB">
      <w:pPr>
        <w:pStyle w:val="ac"/>
        <w:spacing w:line="360" w:lineRule="auto"/>
        <w:jc w:val="both"/>
        <w:rPr>
          <w:rFonts w:ascii="David" w:hAnsi="David"/>
        </w:rPr>
      </w:pPr>
    </w:p>
    <w:p w:rsidR="00F626CB" w:rsidRDefault="00F626CB" w:rsidP="00F626CB">
      <w:pPr>
        <w:pStyle w:val="ac"/>
        <w:spacing w:line="360" w:lineRule="auto"/>
        <w:jc w:val="both"/>
        <w:rPr>
          <w:rFonts w:ascii="David" w:hAnsi="David"/>
          <w:rtl/>
        </w:rPr>
      </w:pPr>
      <w:r>
        <w:rPr>
          <w:rFonts w:ascii="David" w:hAnsi="David"/>
          <w:rtl/>
        </w:rPr>
        <w:t xml:space="preserve">אדרש למסמכים הללו ולשאלה מדוע אין בהם די לעמדתי, כל אחד בפני עצמו וכולם יחדיו, כדי לעלות כדי רף ההוכחה הנדרש. </w:t>
      </w:r>
    </w:p>
    <w:p w:rsidR="00F626CB" w:rsidRDefault="00F626CB" w:rsidP="00F626CB">
      <w:pPr>
        <w:pStyle w:val="ac"/>
        <w:spacing w:line="360" w:lineRule="auto"/>
        <w:jc w:val="both"/>
        <w:rPr>
          <w:rFonts w:ascii="David" w:hAnsi="David"/>
          <w:rtl/>
        </w:rPr>
      </w:pPr>
    </w:p>
    <w:p w:rsidR="00F626CB" w:rsidRDefault="00F626CB" w:rsidP="00F626CB">
      <w:pPr>
        <w:pStyle w:val="ac"/>
        <w:numPr>
          <w:ilvl w:val="0"/>
          <w:numId w:val="6"/>
        </w:numPr>
        <w:spacing w:line="360" w:lineRule="auto"/>
        <w:jc w:val="both"/>
        <w:rPr>
          <w:rFonts w:ascii="David" w:hAnsi="David"/>
          <w:rtl/>
        </w:rPr>
      </w:pPr>
      <w:r>
        <w:rPr>
          <w:rFonts w:ascii="David" w:hAnsi="David"/>
          <w:rtl/>
        </w:rPr>
        <w:t>דומה, כי אין חולק בין הצדדים באשר להרכב המשפח</w:t>
      </w:r>
      <w:r w:rsidR="00DE7B10">
        <w:rPr>
          <w:rFonts w:ascii="David" w:hAnsi="David"/>
          <w:rtl/>
        </w:rPr>
        <w:t>תי של המנוח  ככולל גם את א</w:t>
      </w:r>
      <w:r w:rsidR="00DE7B10">
        <w:rPr>
          <w:rFonts w:ascii="David" w:hAnsi="David" w:hint="cs"/>
          <w:rtl/>
        </w:rPr>
        <w:t>'</w:t>
      </w:r>
      <w:r w:rsidR="00DE7B10">
        <w:rPr>
          <w:rFonts w:ascii="David" w:hAnsi="David"/>
          <w:rtl/>
        </w:rPr>
        <w:t xml:space="preserve"> וגם את ג</w:t>
      </w:r>
      <w:r w:rsidR="00DE7B10">
        <w:rPr>
          <w:rFonts w:ascii="David" w:hAnsi="David" w:hint="cs"/>
          <w:rtl/>
        </w:rPr>
        <w:t>'</w:t>
      </w:r>
      <w:r>
        <w:rPr>
          <w:rFonts w:ascii="David" w:hAnsi="David"/>
          <w:rtl/>
        </w:rPr>
        <w:t xml:space="preserve"> המנוח, וזאת גם מבלי להידרש לקביעות בפסק הדין שניתן בהליך האחר. למען הסדר הטוב יצוין, כי גם באותו המקרה מדובר בפסק דין שניתן ללא שנשמעו בהליך ראיות. </w:t>
      </w:r>
    </w:p>
    <w:p w:rsidR="00F626CB" w:rsidRDefault="00F626CB" w:rsidP="00F626CB">
      <w:pPr>
        <w:pStyle w:val="ac"/>
        <w:spacing w:line="360" w:lineRule="auto"/>
        <w:jc w:val="both"/>
        <w:rPr>
          <w:rFonts w:ascii="David" w:hAnsi="David"/>
        </w:rPr>
      </w:pPr>
    </w:p>
    <w:p w:rsidR="00F626CB" w:rsidRDefault="00F626CB" w:rsidP="00F626CB">
      <w:pPr>
        <w:pStyle w:val="ac"/>
        <w:spacing w:line="360" w:lineRule="auto"/>
        <w:jc w:val="both"/>
        <w:rPr>
          <w:rFonts w:ascii="David" w:hAnsi="David"/>
          <w:rtl/>
        </w:rPr>
      </w:pPr>
      <w:r>
        <w:rPr>
          <w:rFonts w:ascii="David" w:hAnsi="David"/>
          <w:rtl/>
        </w:rPr>
        <w:t>אלא, שאיני יכול לקבל את הטענה כי פסק הדין האמור מהווה ה</w:t>
      </w:r>
      <w:r w:rsidR="00DE7B10">
        <w:rPr>
          <w:rFonts w:ascii="David" w:hAnsi="David"/>
          <w:rtl/>
        </w:rPr>
        <w:t>שתק שיפוטי ביחס לעיר מגורי ס</w:t>
      </w:r>
      <w:r w:rsidR="00DE7B10">
        <w:rPr>
          <w:rFonts w:ascii="David" w:hAnsi="David" w:hint="cs"/>
          <w:rtl/>
        </w:rPr>
        <w:t>'</w:t>
      </w:r>
      <w:r>
        <w:rPr>
          <w:rFonts w:ascii="David" w:hAnsi="David"/>
          <w:rtl/>
        </w:rPr>
        <w:t xml:space="preserve"> המנוח. </w:t>
      </w:r>
    </w:p>
    <w:p w:rsidR="00F626CB" w:rsidRDefault="00F626CB" w:rsidP="00F626CB">
      <w:pPr>
        <w:spacing w:line="360" w:lineRule="auto"/>
        <w:jc w:val="both"/>
        <w:rPr>
          <w:rFonts w:ascii="David" w:hAnsi="David"/>
          <w:rtl/>
        </w:rPr>
      </w:pPr>
    </w:p>
    <w:p w:rsidR="00F626CB" w:rsidRDefault="00F626CB" w:rsidP="00F626CB">
      <w:pPr>
        <w:spacing w:line="360" w:lineRule="auto"/>
        <w:ind w:left="720"/>
        <w:contextualSpacing/>
        <w:jc w:val="both"/>
        <w:rPr>
          <w:rFonts w:ascii="David" w:hAnsi="David"/>
        </w:rPr>
      </w:pPr>
      <w:r>
        <w:rPr>
          <w:rFonts w:ascii="David" w:hAnsi="David"/>
          <w:rtl/>
        </w:rPr>
        <w:t>שכן "...</w:t>
      </w:r>
      <w:r>
        <w:rPr>
          <w:rFonts w:ascii="David" w:hAnsi="David"/>
          <w:b/>
          <w:bCs/>
          <w:rtl/>
        </w:rPr>
        <w:t xml:space="preserve"> כידוע, כלל ההשתק השיפוטי מונע מבעל דין להעלות טענות סותרות בהליכים שונים. זאת, גם כאשר בעלי הדין בשני ההליכים אינם זהים... כלל זה נועד, בעיקרו של דבר, לשמור על טוהר ההליך השיפוטי ועל אמון הציבור במערכת המשפט ... לתכלית זו שני פנים: מבחינה מוסרית, הכלל מתמקד בתום – לבם של בעלי הדין ונועד למנוע ניצול לרעה של ההליך השיפוטי ; מבחינה מעשית, הכלל מבקש למנוע הכרעות סותרות של טריבונלים שונים... </w:t>
      </w:r>
      <w:r>
        <w:rPr>
          <w:rFonts w:ascii="David" w:hAnsi="David"/>
          <w:rtl/>
        </w:rPr>
        <w:t xml:space="preserve">" (בע"מ 8943/22 </w:t>
      </w:r>
      <w:r>
        <w:rPr>
          <w:rFonts w:ascii="David" w:hAnsi="David"/>
          <w:b/>
          <w:bCs/>
          <w:rtl/>
        </w:rPr>
        <w:t>פלוני נ' פלונית</w:t>
      </w:r>
      <w:r>
        <w:rPr>
          <w:rFonts w:ascii="David" w:hAnsi="David"/>
          <w:rtl/>
        </w:rPr>
        <w:t xml:space="preserve">  (מצוי במאגרים המשפטיים ; 15.3.23)  והאסמכתאות שם].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eastAsiaTheme="minorHAnsi" w:hAnsi="David"/>
          <w:noProof w:val="0"/>
          <w:rtl/>
        </w:rPr>
      </w:pPr>
      <w:r>
        <w:rPr>
          <w:rFonts w:ascii="David" w:hAnsi="David"/>
          <w:rtl/>
        </w:rPr>
        <w:lastRenderedPageBreak/>
        <w:t>בענייננו, איני סבור כי מדובר בהכרח בהעלאת טענות סותרות בין ההליכים כי אם בקשיים ראייתים בקביעת ממצאים בהליך דכאן</w:t>
      </w:r>
      <w:r w:rsidR="00DE7B10">
        <w:rPr>
          <w:rFonts w:ascii="David" w:hAnsi="David"/>
          <w:rtl/>
        </w:rPr>
        <w:t xml:space="preserve"> באשר לעיר מגוריו של המנוח ס</w:t>
      </w:r>
      <w:r w:rsidR="00DE7B10">
        <w:rPr>
          <w:rFonts w:ascii="David" w:hAnsi="David" w:hint="cs"/>
          <w:rtl/>
        </w:rPr>
        <w:t>'</w:t>
      </w:r>
      <w:r w:rsidR="00DE7B10">
        <w:rPr>
          <w:rFonts w:ascii="David" w:hAnsi="David"/>
          <w:rtl/>
        </w:rPr>
        <w:t xml:space="preserve"> ובזיקה לעיר הולדתו של מ</w:t>
      </w:r>
      <w:r w:rsidR="00DE7B10">
        <w:rPr>
          <w:rFonts w:ascii="David" w:hAnsi="David" w:hint="cs"/>
          <w:rtl/>
        </w:rPr>
        <w:t>'</w:t>
      </w:r>
      <w:r>
        <w:rPr>
          <w:rFonts w:ascii="David" w:hAnsi="David"/>
          <w:rtl/>
        </w:rPr>
        <w:t xml:space="preserve"> לרבות בתהליך הסקת המסקנות מכך. </w:t>
      </w:r>
    </w:p>
    <w:p w:rsidR="00F626CB" w:rsidRDefault="00F626CB" w:rsidP="00F626CB">
      <w:pPr>
        <w:spacing w:line="360" w:lineRule="auto"/>
        <w:jc w:val="both"/>
        <w:rPr>
          <w:rFonts w:ascii="David" w:hAnsi="David"/>
        </w:rPr>
      </w:pPr>
    </w:p>
    <w:p w:rsidR="00F626CB" w:rsidRDefault="00F626CB" w:rsidP="00DE7B10">
      <w:pPr>
        <w:spacing w:line="360" w:lineRule="auto"/>
        <w:ind w:left="720"/>
        <w:jc w:val="both"/>
        <w:rPr>
          <w:rFonts w:ascii="David" w:hAnsi="David"/>
          <w:rtl/>
        </w:rPr>
      </w:pPr>
      <w:r>
        <w:rPr>
          <w:rFonts w:ascii="David" w:hAnsi="David"/>
          <w:rtl/>
        </w:rPr>
        <w:t>אמנם בפסק הדין בהליך האחר צוטט בסעיף 34 לפסק הדין תצהירה של אחות המנוחי</w:t>
      </w:r>
      <w:r w:rsidR="00DE7B10">
        <w:rPr>
          <w:rFonts w:ascii="David" w:hAnsi="David"/>
          <w:rtl/>
        </w:rPr>
        <w:t>ם ס</w:t>
      </w:r>
      <w:r w:rsidR="00DE7B10">
        <w:rPr>
          <w:rFonts w:ascii="David" w:hAnsi="David" w:hint="cs"/>
          <w:rtl/>
        </w:rPr>
        <w:t>'</w:t>
      </w:r>
      <w:r w:rsidR="00DE7B10">
        <w:rPr>
          <w:rFonts w:ascii="David" w:hAnsi="David"/>
          <w:rtl/>
        </w:rPr>
        <w:t xml:space="preserve"> וג</w:t>
      </w:r>
      <w:r w:rsidR="00DE7B10">
        <w:rPr>
          <w:rFonts w:ascii="David" w:hAnsi="David" w:hint="cs"/>
          <w:rtl/>
        </w:rPr>
        <w:t>'</w:t>
      </w:r>
      <w:r w:rsidR="00DE7B10">
        <w:rPr>
          <w:rFonts w:ascii="David" w:hAnsi="David"/>
          <w:rtl/>
        </w:rPr>
        <w:t xml:space="preserve">, הגב' </w:t>
      </w:r>
      <w:r w:rsidR="00DE7B10">
        <w:rPr>
          <w:rFonts w:ascii="David" w:hAnsi="David" w:hint="cs"/>
          <w:rtl/>
        </w:rPr>
        <w:t>מ.ד.</w:t>
      </w:r>
      <w:r>
        <w:rPr>
          <w:rFonts w:ascii="David" w:hAnsi="David"/>
          <w:rtl/>
        </w:rPr>
        <w:t xml:space="preserve"> בו נכתב על פי פסק הדין כי </w:t>
      </w:r>
      <w:r w:rsidR="00DE7B10">
        <w:rPr>
          <w:rFonts w:ascii="David" w:hAnsi="David"/>
          <w:b/>
          <w:bCs/>
          <w:rtl/>
        </w:rPr>
        <w:t>"... ס</w:t>
      </w:r>
      <w:r w:rsidR="00DE7B10">
        <w:rPr>
          <w:rFonts w:ascii="David" w:hAnsi="David" w:hint="cs"/>
          <w:b/>
          <w:bCs/>
          <w:rtl/>
        </w:rPr>
        <w:t>'</w:t>
      </w:r>
      <w:r>
        <w:rPr>
          <w:rFonts w:ascii="David" w:hAnsi="David"/>
          <w:b/>
          <w:bCs/>
          <w:rtl/>
        </w:rPr>
        <w:t xml:space="preserve"> התגורר באחד האזורים הנידחים ביותר במזרח הרחוק של רוסיה בעיירה </w:t>
      </w:r>
      <w:r w:rsidR="00DE7B10">
        <w:rPr>
          <w:rFonts w:ascii="David" w:hAnsi="David" w:hint="cs"/>
          <w:b/>
          <w:bCs/>
        </w:rPr>
        <w:t>XXX</w:t>
      </w:r>
      <w:r>
        <w:rPr>
          <w:rFonts w:ascii="David" w:hAnsi="David"/>
          <w:b/>
          <w:bCs/>
          <w:rtl/>
        </w:rPr>
        <w:t xml:space="preserve"> (</w:t>
      </w:r>
      <w:r w:rsidR="00DE7B10">
        <w:rPr>
          <w:rFonts w:ascii="David" w:hAnsi="David" w:hint="cs"/>
          <w:b/>
          <w:bCs/>
        </w:rPr>
        <w:t>XXX</w:t>
      </w:r>
      <w:r>
        <w:rPr>
          <w:rFonts w:ascii="David" w:hAnsi="David"/>
          <w:b/>
          <w:bCs/>
          <w:rtl/>
        </w:rPr>
        <w:t xml:space="preserve">), לא הרחק מהגבול עם קוראה הצפונית במרחק של עשרות אלפי קילומטרים מהעיר </w:t>
      </w:r>
      <w:r w:rsidR="00DE7B10">
        <w:rPr>
          <w:rFonts w:ascii="David" w:hAnsi="David" w:hint="cs"/>
          <w:b/>
          <w:bCs/>
        </w:rPr>
        <w:t>XXX</w:t>
      </w:r>
      <w:r w:rsidR="00DE7B10">
        <w:rPr>
          <w:rFonts w:ascii="David" w:hAnsi="David"/>
          <w:b/>
          <w:bCs/>
          <w:rtl/>
        </w:rPr>
        <w:t>. ס</w:t>
      </w:r>
      <w:r w:rsidR="00DE7B10">
        <w:rPr>
          <w:rFonts w:ascii="David" w:hAnsi="David" w:hint="cs"/>
          <w:b/>
          <w:bCs/>
          <w:rtl/>
        </w:rPr>
        <w:t>'</w:t>
      </w:r>
      <w:r>
        <w:rPr>
          <w:rFonts w:ascii="David" w:hAnsi="David"/>
          <w:b/>
          <w:bCs/>
          <w:rtl/>
        </w:rPr>
        <w:t xml:space="preserve"> נפטר בשנת 2011 בארץ בהיותו אזרח ישראלי. ידוע לי </w:t>
      </w:r>
      <w:r w:rsidR="00DE7B10">
        <w:rPr>
          <w:rFonts w:ascii="David" w:hAnsi="David"/>
          <w:b/>
          <w:bCs/>
          <w:rtl/>
        </w:rPr>
        <w:t>שבתקופת חייו ברוסיה כאמור לס</w:t>
      </w:r>
      <w:r w:rsidR="00DE7B10">
        <w:rPr>
          <w:rFonts w:ascii="David" w:hAnsi="David" w:hint="cs"/>
          <w:b/>
          <w:bCs/>
          <w:rtl/>
        </w:rPr>
        <w:t>'</w:t>
      </w:r>
      <w:r w:rsidR="00DE7B10">
        <w:rPr>
          <w:rFonts w:ascii="David" w:hAnsi="David"/>
          <w:b/>
          <w:bCs/>
          <w:rtl/>
        </w:rPr>
        <w:t xml:space="preserve"> נולד בן בשם מ</w:t>
      </w:r>
      <w:r w:rsidR="00DE7B10">
        <w:rPr>
          <w:rFonts w:ascii="David" w:hAnsi="David" w:hint="cs"/>
          <w:b/>
          <w:bCs/>
          <w:rtl/>
        </w:rPr>
        <w:t>'</w:t>
      </w:r>
      <w:r>
        <w:rPr>
          <w:rFonts w:ascii="David" w:hAnsi="David"/>
          <w:b/>
          <w:bCs/>
          <w:rtl/>
        </w:rPr>
        <w:t xml:space="preserve">, אשר עדיין מתגורר שם" </w:t>
      </w:r>
      <w:r>
        <w:rPr>
          <w:rFonts w:ascii="David" w:hAnsi="David"/>
          <w:rtl/>
        </w:rPr>
        <w:t>(ראו: סעיף 34 לפסק הדין בהליך האחר). ספק אם בעצם הציטוט יש משום קביעת ממ</w:t>
      </w:r>
      <w:r w:rsidR="00DE7B10">
        <w:rPr>
          <w:rFonts w:ascii="David" w:hAnsi="David"/>
          <w:rtl/>
        </w:rPr>
        <w:t>צא עובדתי של ממש בדבר הולדת מ</w:t>
      </w:r>
      <w:r w:rsidR="00DE7B10">
        <w:rPr>
          <w:rFonts w:ascii="David" w:hAnsi="David" w:hint="cs"/>
          <w:rtl/>
        </w:rPr>
        <w:t>'</w:t>
      </w:r>
      <w:r w:rsidR="00DE7B10">
        <w:rPr>
          <w:rFonts w:ascii="David" w:hAnsi="David"/>
          <w:rtl/>
        </w:rPr>
        <w:t xml:space="preserve"> לס</w:t>
      </w:r>
      <w:r w:rsidR="00DE7B10">
        <w:rPr>
          <w:rFonts w:ascii="David" w:hAnsi="David" w:hint="cs"/>
          <w:rtl/>
        </w:rPr>
        <w:t>'</w:t>
      </w:r>
      <w:r>
        <w:rPr>
          <w:rFonts w:ascii="David" w:hAnsi="David"/>
          <w:rtl/>
        </w:rPr>
        <w:t xml:space="preserve"> כי אם לכל היותר שיקוף דבריה של עדה פוטנציאלית, בהליך שעניינו היה אדם אחר בכלל. </w:t>
      </w:r>
    </w:p>
    <w:p w:rsidR="00F626CB" w:rsidRDefault="00F626CB" w:rsidP="00F626CB">
      <w:pPr>
        <w:spacing w:line="360" w:lineRule="auto"/>
        <w:ind w:left="720"/>
        <w:jc w:val="both"/>
        <w:rPr>
          <w:rFonts w:ascii="David" w:hAnsi="David"/>
          <w:rtl/>
        </w:rPr>
      </w:pPr>
    </w:p>
    <w:p w:rsidR="00F626CB" w:rsidRDefault="00F626CB" w:rsidP="00F626CB">
      <w:pPr>
        <w:spacing w:line="360" w:lineRule="auto"/>
        <w:ind w:left="720"/>
        <w:jc w:val="both"/>
        <w:rPr>
          <w:rFonts w:ascii="David" w:hAnsi="David"/>
          <w:rtl/>
        </w:rPr>
      </w:pPr>
      <w:r>
        <w:rPr>
          <w:rFonts w:ascii="David" w:hAnsi="David"/>
          <w:rtl/>
        </w:rPr>
        <w:t>אולם בהליך שלפני, תצהירה של אחות המנוחים בתובענה שלפניי</w:t>
      </w:r>
      <w:r>
        <w:rPr>
          <w:rFonts w:ascii="David" w:hAnsi="David"/>
          <w:u w:val="single"/>
          <w:rtl/>
        </w:rPr>
        <w:t xml:space="preserve"> הוצא מהתיק בהסכמה</w:t>
      </w:r>
      <w:r>
        <w:rPr>
          <w:rFonts w:ascii="David" w:hAnsi="David"/>
          <w:rtl/>
        </w:rPr>
        <w:t>. אף מוקשה בעיניי כיצד ניתן להסתמך על קביעה אגבית בפסק הדין ה</w:t>
      </w:r>
      <w:r w:rsidR="00DE7B10">
        <w:rPr>
          <w:rFonts w:ascii="David" w:hAnsi="David"/>
          <w:rtl/>
        </w:rPr>
        <w:t>אחר באשר למקום מגורי המנוח ס</w:t>
      </w:r>
      <w:r w:rsidR="00DE7B10">
        <w:rPr>
          <w:rFonts w:ascii="David" w:hAnsi="David" w:hint="cs"/>
          <w:rtl/>
        </w:rPr>
        <w:t>'</w:t>
      </w:r>
      <w:r>
        <w:rPr>
          <w:rFonts w:ascii="David" w:hAnsi="David"/>
          <w:rtl/>
        </w:rPr>
        <w:t xml:space="preserve"> כקביעה שיש בה ליצ</w:t>
      </w:r>
      <w:r w:rsidR="00DE7B10">
        <w:rPr>
          <w:rFonts w:ascii="David" w:hAnsi="David"/>
          <w:rtl/>
        </w:rPr>
        <w:t>ור זיקה של הורות בין המנוח ס</w:t>
      </w:r>
      <w:r w:rsidR="00DE7B10">
        <w:rPr>
          <w:rFonts w:ascii="David" w:hAnsi="David" w:hint="cs"/>
          <w:rtl/>
        </w:rPr>
        <w:t>'</w:t>
      </w:r>
      <w:r>
        <w:rPr>
          <w:rFonts w:ascii="David" w:hAnsi="David"/>
          <w:rtl/>
        </w:rPr>
        <w:t xml:space="preserve"> ובין מ</w:t>
      </w:r>
      <w:r w:rsidR="00DE7B10">
        <w:rPr>
          <w:rFonts w:ascii="David" w:hAnsi="David" w:hint="cs"/>
          <w:rtl/>
        </w:rPr>
        <w:t>'</w:t>
      </w:r>
      <w:r w:rsidR="00DE7B10">
        <w:rPr>
          <w:rFonts w:ascii="David" w:hAnsi="David"/>
          <w:rtl/>
        </w:rPr>
        <w:t>, בטענה כי העיר בה נולד מ</w:t>
      </w:r>
      <w:r w:rsidR="00DE7B10">
        <w:rPr>
          <w:rFonts w:ascii="David" w:hAnsi="David" w:hint="cs"/>
          <w:rtl/>
        </w:rPr>
        <w:t>'</w:t>
      </w:r>
      <w:r w:rsidR="00DE7B10">
        <w:rPr>
          <w:rFonts w:ascii="David" w:hAnsi="David"/>
          <w:rtl/>
        </w:rPr>
        <w:t xml:space="preserve"> זהה לעיר מגוריו של המנוח ס</w:t>
      </w:r>
      <w:r w:rsidR="00DE7B10">
        <w:rPr>
          <w:rFonts w:ascii="David" w:hAnsi="David" w:hint="cs"/>
          <w:rtl/>
        </w:rPr>
        <w:t>'</w:t>
      </w:r>
      <w:r>
        <w:rPr>
          <w:rFonts w:ascii="David" w:hAnsi="David"/>
          <w:rtl/>
        </w:rPr>
        <w:t xml:space="preserve">, טרם עלייתו לישראל. </w:t>
      </w:r>
    </w:p>
    <w:p w:rsidR="00F626CB" w:rsidRDefault="00F626CB" w:rsidP="00F626CB">
      <w:pPr>
        <w:spacing w:line="360" w:lineRule="auto"/>
        <w:ind w:left="720"/>
        <w:jc w:val="both"/>
        <w:rPr>
          <w:rFonts w:ascii="David" w:hAnsi="David"/>
          <w:rtl/>
        </w:rPr>
      </w:pPr>
    </w:p>
    <w:p w:rsidR="00F626CB" w:rsidRDefault="00F626CB" w:rsidP="00FA6458">
      <w:pPr>
        <w:pStyle w:val="ac"/>
        <w:numPr>
          <w:ilvl w:val="0"/>
          <w:numId w:val="6"/>
        </w:numPr>
        <w:spacing w:line="360" w:lineRule="auto"/>
        <w:jc w:val="both"/>
        <w:rPr>
          <w:rFonts w:ascii="David" w:hAnsi="David"/>
          <w:rtl/>
        </w:rPr>
      </w:pPr>
      <w:r>
        <w:rPr>
          <w:rFonts w:ascii="David" w:hAnsi="David"/>
          <w:rtl/>
        </w:rPr>
        <w:t xml:space="preserve">גם לו יונח כי תעודת הלידה כפי שהוגשה עומדת בהוראות הדין וספק שכך הוא הדבר (השוו: פרק ב' סימן ד' </w:t>
      </w:r>
      <w:r>
        <w:rPr>
          <w:rFonts w:ascii="David" w:hAnsi="David"/>
          <w:b/>
          <w:bCs/>
          <w:rtl/>
        </w:rPr>
        <w:t>לפקודת הראיות [נוסח חדש], תשל"א-1971</w:t>
      </w:r>
      <w:r>
        <w:rPr>
          <w:rFonts w:ascii="David" w:hAnsi="David"/>
          <w:rtl/>
        </w:rPr>
        <w:t xml:space="preserve">) עדיין בתעודת הלידה צוינה </w:t>
      </w:r>
      <w:r w:rsidR="00DE7B10">
        <w:rPr>
          <w:rFonts w:ascii="David" w:hAnsi="David" w:hint="cs"/>
          <w:b/>
          <w:bCs/>
        </w:rPr>
        <w:t>XXX</w:t>
      </w:r>
      <w:r>
        <w:rPr>
          <w:rFonts w:ascii="David" w:hAnsi="David"/>
          <w:rtl/>
        </w:rPr>
        <w:t xml:space="preserve"> כעיר </w:t>
      </w:r>
      <w:r w:rsidR="00DE7B10">
        <w:rPr>
          <w:rFonts w:ascii="David" w:hAnsi="David"/>
          <w:rtl/>
        </w:rPr>
        <w:t>הולדתו של מ</w:t>
      </w:r>
      <w:r w:rsidR="00DE7B10">
        <w:rPr>
          <w:rFonts w:ascii="David" w:hAnsi="David" w:hint="cs"/>
          <w:rtl/>
        </w:rPr>
        <w:t>'</w:t>
      </w:r>
      <w:r>
        <w:rPr>
          <w:rFonts w:ascii="David" w:hAnsi="David"/>
          <w:rtl/>
        </w:rPr>
        <w:t xml:space="preserve"> ואילו בפסק הדין צוינה </w:t>
      </w:r>
      <w:r w:rsidR="00DE7B10">
        <w:rPr>
          <w:rFonts w:ascii="David" w:hAnsi="David" w:hint="cs"/>
          <w:b/>
          <w:bCs/>
        </w:rPr>
        <w:t>XX</w:t>
      </w:r>
      <w:r w:rsidR="00DE7B10">
        <w:rPr>
          <w:rFonts w:ascii="David" w:hAnsi="David"/>
          <w:rtl/>
        </w:rPr>
        <w:t xml:space="preserve"> כמקום מגוריו של המנוח ס</w:t>
      </w:r>
      <w:r w:rsidR="00DE7B10">
        <w:rPr>
          <w:rFonts w:ascii="David" w:hAnsi="David" w:hint="cs"/>
          <w:rtl/>
        </w:rPr>
        <w:t>'</w:t>
      </w:r>
      <w:r>
        <w:rPr>
          <w:rFonts w:ascii="David" w:hAnsi="David"/>
          <w:rtl/>
        </w:rPr>
        <w:t>.  גם אם אניח קרבה גאוגרפית (שכן ראייה לכך לא הונחה לפניי), הרי שאין בכך משום ראייה עצמאית אשר תוביל למסקנה מרחיקת לכת הק</w:t>
      </w:r>
      <w:r w:rsidR="00DE7B10">
        <w:rPr>
          <w:rFonts w:ascii="David" w:hAnsi="David"/>
          <w:rtl/>
        </w:rPr>
        <w:t>ושרת בזיקה של הורה וילד את ס</w:t>
      </w:r>
      <w:r w:rsidR="00DE7B10">
        <w:rPr>
          <w:rFonts w:ascii="David" w:hAnsi="David" w:hint="cs"/>
          <w:rtl/>
        </w:rPr>
        <w:t>'</w:t>
      </w:r>
      <w:r w:rsidR="00DE7B10">
        <w:rPr>
          <w:rFonts w:ascii="David" w:hAnsi="David"/>
          <w:rtl/>
        </w:rPr>
        <w:t xml:space="preserve"> המנוח ומ</w:t>
      </w:r>
      <w:r w:rsidR="00DE7B10">
        <w:rPr>
          <w:rFonts w:ascii="David" w:hAnsi="David" w:hint="cs"/>
          <w:rtl/>
        </w:rPr>
        <w:t>'</w:t>
      </w:r>
      <w:r>
        <w:rPr>
          <w:rFonts w:ascii="David" w:hAnsi="David"/>
          <w:rtl/>
        </w:rPr>
        <w:t xml:space="preserve">. </w:t>
      </w:r>
    </w:p>
    <w:p w:rsidR="00F626CB" w:rsidRDefault="00F626CB" w:rsidP="00F626CB">
      <w:pPr>
        <w:spacing w:line="360" w:lineRule="auto"/>
        <w:jc w:val="both"/>
        <w:rPr>
          <w:rFonts w:ascii="David" w:hAnsi="David"/>
        </w:rPr>
      </w:pPr>
    </w:p>
    <w:p w:rsidR="00F626CB" w:rsidRDefault="00F626CB" w:rsidP="00F626CB">
      <w:pPr>
        <w:spacing w:line="360" w:lineRule="auto"/>
        <w:ind w:left="720"/>
        <w:jc w:val="both"/>
        <w:rPr>
          <w:rFonts w:ascii="David" w:hAnsi="David"/>
          <w:rtl/>
        </w:rPr>
      </w:pPr>
      <w:r>
        <w:rPr>
          <w:rFonts w:ascii="David" w:hAnsi="David"/>
          <w:rtl/>
        </w:rPr>
        <w:t xml:space="preserve">זאת </w:t>
      </w:r>
      <w:r w:rsidR="00DE7B10">
        <w:rPr>
          <w:rFonts w:ascii="David" w:hAnsi="David"/>
          <w:rtl/>
        </w:rPr>
        <w:t>במיוחד, משבתעודת הלידה של מ</w:t>
      </w:r>
      <w:r w:rsidR="00DE7B10">
        <w:rPr>
          <w:rFonts w:ascii="David" w:hAnsi="David" w:hint="cs"/>
          <w:rtl/>
        </w:rPr>
        <w:t>'</w:t>
      </w:r>
      <w:r>
        <w:rPr>
          <w:rFonts w:ascii="David" w:hAnsi="David"/>
          <w:rtl/>
        </w:rPr>
        <w:t xml:space="preserve"> מופיע </w:t>
      </w:r>
      <w:r>
        <w:rPr>
          <w:rFonts w:ascii="David" w:hAnsi="David"/>
          <w:u w:val="single"/>
          <w:rtl/>
        </w:rPr>
        <w:t>בן זוגה הקודם</w:t>
      </w:r>
      <w:r w:rsidR="00DE7B10">
        <w:rPr>
          <w:rFonts w:ascii="David" w:hAnsi="David"/>
          <w:rtl/>
        </w:rPr>
        <w:t xml:space="preserve"> של האם ד</w:t>
      </w:r>
      <w:r w:rsidR="00DE7B10">
        <w:rPr>
          <w:rFonts w:ascii="David" w:hAnsi="David" w:hint="cs"/>
          <w:rtl/>
        </w:rPr>
        <w:t>.מ.</w:t>
      </w:r>
      <w:r>
        <w:rPr>
          <w:rFonts w:ascii="David" w:hAnsi="David"/>
          <w:rtl/>
        </w:rPr>
        <w:t xml:space="preserve"> ז"ל  </w:t>
      </w:r>
      <w:r w:rsidR="00DE7B10">
        <w:rPr>
          <w:rFonts w:ascii="David" w:hAnsi="David"/>
          <w:u w:val="single"/>
          <w:rtl/>
        </w:rPr>
        <w:t xml:space="preserve">כאביו הרשום של </w:t>
      </w:r>
      <w:r w:rsidR="00DE7B10">
        <w:rPr>
          <w:rFonts w:ascii="David" w:hAnsi="David" w:hint="cs"/>
          <w:u w:val="single"/>
          <w:rtl/>
        </w:rPr>
        <w:t>מ'</w:t>
      </w:r>
      <w:r>
        <w:rPr>
          <w:rFonts w:ascii="David" w:hAnsi="David"/>
          <w:rtl/>
        </w:rPr>
        <w:t xml:space="preserve"> (אף לא ראיתי שנעשה מאמץ של ממש לאתר את יורשיו הפוטנציאליים של אותו אב רשום, ולאפשר להם זכות טיעון). </w:t>
      </w:r>
    </w:p>
    <w:p w:rsidR="00F626CB" w:rsidRDefault="00F626CB" w:rsidP="00F626CB">
      <w:pPr>
        <w:spacing w:line="360" w:lineRule="auto"/>
        <w:ind w:left="720"/>
        <w:jc w:val="both"/>
        <w:rPr>
          <w:rFonts w:ascii="David" w:hAnsi="David"/>
          <w:rtl/>
        </w:rPr>
      </w:pPr>
    </w:p>
    <w:p w:rsidR="00F626CB" w:rsidRDefault="00F626CB" w:rsidP="00FA6458">
      <w:pPr>
        <w:spacing w:line="360" w:lineRule="auto"/>
        <w:ind w:left="720"/>
        <w:jc w:val="both"/>
        <w:rPr>
          <w:rFonts w:ascii="David" w:hAnsi="David"/>
          <w:rtl/>
        </w:rPr>
      </w:pPr>
      <w:r>
        <w:rPr>
          <w:rFonts w:ascii="David" w:hAnsi="David"/>
          <w:rtl/>
        </w:rPr>
        <w:t>זאת ועוד, לשם ההמחשה ומבלי שיהא בכך משום קביעת ממצא עובדתי של ממש, עיון במאגרי מידע פ</w:t>
      </w:r>
      <w:r w:rsidR="00DE7B10">
        <w:rPr>
          <w:rFonts w:ascii="David" w:hAnsi="David"/>
          <w:rtl/>
        </w:rPr>
        <w:t>תוחים לציבור מגלה כי העיר</w:t>
      </w:r>
      <w:r w:rsidR="00DE7B10">
        <w:rPr>
          <w:rFonts w:ascii="David" w:hAnsi="David" w:hint="cs"/>
          <w:rtl/>
        </w:rPr>
        <w:t xml:space="preserve"> </w:t>
      </w:r>
      <w:r w:rsidR="00DE7B10">
        <w:rPr>
          <w:rFonts w:ascii="David" w:hAnsi="David" w:hint="cs"/>
        </w:rPr>
        <w:t>XXX</w:t>
      </w:r>
      <w:r>
        <w:rPr>
          <w:rFonts w:ascii="David" w:hAnsi="David"/>
          <w:rtl/>
        </w:rPr>
        <w:t xml:space="preserve"> מצויה לכאורה בחבל פרימוריה, הרחוקה כ-100 ק"מ מבירת המחוז וולדיווסטוק, ואילו האי </w:t>
      </w:r>
      <w:r w:rsidR="00DE7B10">
        <w:rPr>
          <w:rFonts w:ascii="David" w:hAnsi="David" w:hint="cs"/>
        </w:rPr>
        <w:t>X</w:t>
      </w:r>
      <w:r w:rsidR="00FA6458">
        <w:rPr>
          <w:rFonts w:ascii="David" w:hAnsi="David"/>
          <w:rtl/>
        </w:rPr>
        <w:t xml:space="preserve"> </w:t>
      </w:r>
      <w:r w:rsidR="00FA6458">
        <w:rPr>
          <w:rFonts w:ascii="David" w:hAnsi="David" w:hint="cs"/>
          <w:rtl/>
        </w:rPr>
        <w:t xml:space="preserve">- </w:t>
      </w:r>
      <w:r>
        <w:rPr>
          <w:rFonts w:ascii="David" w:hAnsi="David"/>
          <w:rtl/>
        </w:rPr>
        <w:t xml:space="preserve">ברוסיה אף הוא </w:t>
      </w:r>
      <w:r>
        <w:rPr>
          <w:rFonts w:ascii="David" w:hAnsi="David"/>
        </w:rPr>
        <w:t xml:space="preserve"> - </w:t>
      </w:r>
      <w:r>
        <w:rPr>
          <w:rFonts w:ascii="David" w:hAnsi="David"/>
          <w:rtl/>
        </w:rPr>
        <w:t xml:space="preserve">מצוי לכאורה צפונית למצר ברינג, אלפי ק"מ מן העיר </w:t>
      </w:r>
      <w:r w:rsidR="00DE7B10">
        <w:rPr>
          <w:rFonts w:ascii="David" w:hAnsi="David" w:hint="cs"/>
        </w:rPr>
        <w:t>XXX</w:t>
      </w:r>
      <w:r>
        <w:rPr>
          <w:rFonts w:ascii="David" w:hAnsi="David"/>
          <w:rtl/>
        </w:rPr>
        <w:t>.</w:t>
      </w:r>
      <w:r>
        <w:rPr>
          <w:rFonts w:ascii="David" w:hAnsi="David"/>
        </w:rPr>
        <w:t xml:space="preserve"> </w:t>
      </w:r>
    </w:p>
    <w:p w:rsidR="00F626CB" w:rsidRDefault="00F626CB" w:rsidP="00F626CB">
      <w:pPr>
        <w:pStyle w:val="ac"/>
        <w:spacing w:line="360" w:lineRule="auto"/>
        <w:jc w:val="both"/>
        <w:rPr>
          <w:rFonts w:ascii="David" w:hAnsi="David"/>
          <w:rtl/>
        </w:rPr>
      </w:pPr>
    </w:p>
    <w:p w:rsidR="00F626CB" w:rsidRDefault="00F626CB" w:rsidP="00F626CB">
      <w:pPr>
        <w:pStyle w:val="ac"/>
        <w:numPr>
          <w:ilvl w:val="0"/>
          <w:numId w:val="6"/>
        </w:numPr>
        <w:spacing w:line="360" w:lineRule="auto"/>
        <w:jc w:val="both"/>
        <w:rPr>
          <w:rFonts w:ascii="David" w:hAnsi="David"/>
        </w:rPr>
      </w:pPr>
      <w:r>
        <w:rPr>
          <w:rFonts w:ascii="David" w:hAnsi="David"/>
          <w:rtl/>
        </w:rPr>
        <w:t>בנוסף, אין מחלו</w:t>
      </w:r>
      <w:r w:rsidR="00DE7B10">
        <w:rPr>
          <w:rFonts w:ascii="David" w:hAnsi="David"/>
          <w:rtl/>
        </w:rPr>
        <w:t>קת שאמו של מ</w:t>
      </w:r>
      <w:r w:rsidR="00DE7B10">
        <w:rPr>
          <w:rFonts w:ascii="David" w:hAnsi="David" w:hint="cs"/>
          <w:rtl/>
        </w:rPr>
        <w:t>'</w:t>
      </w:r>
      <w:r w:rsidR="00DE7B10">
        <w:rPr>
          <w:rFonts w:ascii="David" w:hAnsi="David"/>
          <w:rtl/>
        </w:rPr>
        <w:t>, א</w:t>
      </w:r>
      <w:r w:rsidR="00DE7B10">
        <w:rPr>
          <w:rFonts w:ascii="David" w:hAnsi="David" w:hint="cs"/>
          <w:rtl/>
        </w:rPr>
        <w:t>.מ.</w:t>
      </w:r>
      <w:r>
        <w:rPr>
          <w:rFonts w:ascii="David" w:hAnsi="David"/>
          <w:rtl/>
        </w:rPr>
        <w:t xml:space="preserve"> ז"ל נפטרה בשנת 2019 (להלן: </w:t>
      </w:r>
      <w:r w:rsidR="00DE7B10">
        <w:rPr>
          <w:rFonts w:ascii="David" w:hAnsi="David"/>
          <w:b/>
          <w:bCs/>
          <w:rtl/>
        </w:rPr>
        <w:t>" א</w:t>
      </w:r>
      <w:r w:rsidR="00DE7B10">
        <w:rPr>
          <w:rFonts w:ascii="David" w:hAnsi="David" w:hint="cs"/>
          <w:b/>
          <w:bCs/>
          <w:rtl/>
        </w:rPr>
        <w:t>'</w:t>
      </w:r>
      <w:r>
        <w:rPr>
          <w:rFonts w:ascii="David" w:hAnsi="David"/>
          <w:b/>
          <w:bCs/>
          <w:rtl/>
        </w:rPr>
        <w:t xml:space="preserve"> המנוחה"</w:t>
      </w:r>
      <w:r>
        <w:rPr>
          <w:rFonts w:ascii="David" w:hAnsi="David"/>
          <w:rtl/>
        </w:rPr>
        <w:t>) ונראה, כי בשנת 2003 הותרו ניש</w:t>
      </w:r>
      <w:r w:rsidR="00DE7B10">
        <w:rPr>
          <w:rFonts w:ascii="David" w:hAnsi="David"/>
          <w:rtl/>
        </w:rPr>
        <w:t>ואיה מבן זוגה ד</w:t>
      </w:r>
      <w:r w:rsidR="00DE7B10">
        <w:rPr>
          <w:rFonts w:ascii="David" w:hAnsi="David" w:hint="cs"/>
          <w:rtl/>
        </w:rPr>
        <w:t>.מ.</w:t>
      </w:r>
      <w:r>
        <w:rPr>
          <w:rFonts w:ascii="David" w:hAnsi="David"/>
          <w:rtl/>
        </w:rPr>
        <w:t xml:space="preserve"> ז"ל. קרי, הנישואין הותרו שנים לא מעטות </w:t>
      </w:r>
      <w:r>
        <w:rPr>
          <w:rFonts w:ascii="David" w:hAnsi="David"/>
          <w:u w:val="single"/>
          <w:rtl/>
        </w:rPr>
        <w:t>לאחר</w:t>
      </w:r>
      <w:r w:rsidR="00DE7B10">
        <w:rPr>
          <w:rFonts w:ascii="David" w:hAnsi="David"/>
          <w:rtl/>
        </w:rPr>
        <w:t xml:space="preserve"> מועד לידתו של מ</w:t>
      </w:r>
      <w:r w:rsidR="00DE7B10">
        <w:rPr>
          <w:rFonts w:ascii="David" w:hAnsi="David" w:hint="cs"/>
          <w:rtl/>
        </w:rPr>
        <w:t>'</w:t>
      </w:r>
      <w:r w:rsidR="00DE7B10">
        <w:rPr>
          <w:rFonts w:ascii="David" w:hAnsi="David"/>
          <w:rtl/>
        </w:rPr>
        <w:t xml:space="preserve">  </w:t>
      </w:r>
      <w:r>
        <w:rPr>
          <w:rFonts w:ascii="David" w:hAnsi="David"/>
          <w:rtl/>
        </w:rPr>
        <w:t xml:space="preserve">(ראו: העתק תעודת התרת נישואין ותרגומה שצורפו כנספח 4 לכתב התביעה).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 xml:space="preserve">טענת התובעים בכתב התביעה (ראו: סעיף 2 לכתב התביעה), כי בשל מעמדה של האם בעת הלידה כ"נשואה" נרשמו פרטי בעלה הרשום, בהתאם לדין הרוסי, הועלתה כטענה בעלמא.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לא הוצגה לפניי חוות דעת דין זר ברוסיה או לחילופין, הוכחה בראיות באשר למועד סיום מערכת היחסים בין השניים.</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 xml:space="preserve">יוצא מכך, שהנתונים כפי שהונחו אל מול נתוני רישום אב שהוכר במדינה אחרת, מעוררים קושי של ממש. </w:t>
      </w:r>
    </w:p>
    <w:p w:rsidR="00F626CB" w:rsidRDefault="00F626CB" w:rsidP="00F626CB">
      <w:pPr>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tl/>
        </w:rPr>
      </w:pPr>
      <w:r>
        <w:rPr>
          <w:rFonts w:ascii="David" w:hAnsi="David"/>
          <w:rtl/>
        </w:rPr>
        <w:t xml:space="preserve">אף </w:t>
      </w:r>
      <w:r w:rsidR="00DE7B10">
        <w:rPr>
          <w:rFonts w:ascii="David" w:hAnsi="David"/>
          <w:rtl/>
        </w:rPr>
        <w:t>יש לזכור, כי גם סיפורו של ס</w:t>
      </w:r>
      <w:r w:rsidR="00DE7B10">
        <w:rPr>
          <w:rFonts w:ascii="David" w:hAnsi="David" w:hint="cs"/>
          <w:rtl/>
        </w:rPr>
        <w:t xml:space="preserve">' </w:t>
      </w:r>
      <w:r>
        <w:rPr>
          <w:rFonts w:ascii="David" w:hAnsi="David"/>
          <w:rtl/>
        </w:rPr>
        <w:t>המנוח כפי שסופר בכתב התביעה בדבר התקופות בה</w:t>
      </w:r>
      <w:r w:rsidR="00DE7B10">
        <w:rPr>
          <w:rFonts w:ascii="David" w:hAnsi="David"/>
          <w:rtl/>
        </w:rPr>
        <w:t>ן ניהל המנוח חיי נישואין עם א</w:t>
      </w:r>
      <w:r w:rsidR="00DE7B10">
        <w:rPr>
          <w:rFonts w:ascii="David" w:hAnsi="David" w:hint="cs"/>
          <w:rtl/>
        </w:rPr>
        <w:t>'</w:t>
      </w:r>
      <w:r>
        <w:rPr>
          <w:rFonts w:ascii="David" w:hAnsi="David"/>
          <w:rtl/>
        </w:rPr>
        <w:t xml:space="preserve">  עד לפרידה ובאשר לתקופת מערכ</w:t>
      </w:r>
      <w:r w:rsidR="00DE7B10">
        <w:rPr>
          <w:rFonts w:ascii="David" w:hAnsi="David"/>
          <w:rtl/>
        </w:rPr>
        <w:t>ת היחסים שניהל עם אמו של מ</w:t>
      </w:r>
      <w:r w:rsidR="00DE7B10">
        <w:rPr>
          <w:rFonts w:ascii="David" w:hAnsi="David" w:hint="cs"/>
          <w:rtl/>
        </w:rPr>
        <w:t>'</w:t>
      </w:r>
      <w:r w:rsidR="00DE7B10">
        <w:rPr>
          <w:rFonts w:ascii="David" w:hAnsi="David"/>
          <w:rtl/>
        </w:rPr>
        <w:t>, א</w:t>
      </w:r>
      <w:r w:rsidR="00DE7B10">
        <w:rPr>
          <w:rFonts w:ascii="David" w:hAnsi="David" w:hint="cs"/>
          <w:rtl/>
        </w:rPr>
        <w:t xml:space="preserve">' </w:t>
      </w:r>
      <w:r>
        <w:rPr>
          <w:rFonts w:ascii="David" w:hAnsi="David"/>
          <w:rtl/>
        </w:rPr>
        <w:t>המנוחה, לא נתמך בראיות של ממש שיהא בהן כדי לשמש</w:t>
      </w:r>
      <w:r w:rsidR="00DE7B10">
        <w:rPr>
          <w:rFonts w:ascii="David" w:hAnsi="David"/>
          <w:rtl/>
        </w:rPr>
        <w:t xml:space="preserve"> נדבך נסיבתי נוסף לגרסתו של מ</w:t>
      </w:r>
      <w:r w:rsidR="00DE7B10">
        <w:rPr>
          <w:rFonts w:ascii="David" w:hAnsi="David" w:hint="cs"/>
          <w:rtl/>
        </w:rPr>
        <w:t>'</w:t>
      </w:r>
      <w:r>
        <w:rPr>
          <w:rFonts w:ascii="David" w:hAnsi="David"/>
          <w:rtl/>
        </w:rPr>
        <w:t xml:space="preserve">. זאת, במיוחד מקום בו תצהירי בנות משפחתו של המנוח הוצאו מהתיק באופן מוסכם. </w:t>
      </w:r>
    </w:p>
    <w:p w:rsidR="00F626CB" w:rsidRDefault="00F626CB" w:rsidP="00F626CB">
      <w:pPr>
        <w:pStyle w:val="ac"/>
        <w:spacing w:line="360" w:lineRule="auto"/>
        <w:jc w:val="both"/>
        <w:rPr>
          <w:rFonts w:ascii="David" w:hAnsi="David"/>
        </w:rPr>
      </w:pPr>
    </w:p>
    <w:p w:rsidR="00F626CB" w:rsidRDefault="00F626CB" w:rsidP="00F626CB">
      <w:pPr>
        <w:pStyle w:val="ac"/>
        <w:rPr>
          <w:rFonts w:ascii="David" w:hAnsi="David"/>
          <w:rtl/>
        </w:rPr>
      </w:pPr>
    </w:p>
    <w:p w:rsidR="00F626CB" w:rsidRDefault="00F626CB" w:rsidP="00FA6458">
      <w:pPr>
        <w:pStyle w:val="ac"/>
        <w:numPr>
          <w:ilvl w:val="0"/>
          <w:numId w:val="6"/>
        </w:numPr>
        <w:spacing w:line="360" w:lineRule="auto"/>
        <w:jc w:val="both"/>
        <w:rPr>
          <w:rFonts w:ascii="David" w:hAnsi="David"/>
          <w:rtl/>
        </w:rPr>
      </w:pPr>
      <w:r>
        <w:rPr>
          <w:rFonts w:ascii="David" w:hAnsi="David"/>
          <w:rtl/>
        </w:rPr>
        <w:t>מכאן, לראייה הנוספת שהוגשה לתיק מטעם התובעים ביום 13.10.23</w:t>
      </w:r>
      <w:r w:rsidR="00DE7B10">
        <w:rPr>
          <w:rFonts w:ascii="David" w:hAnsi="David"/>
          <w:rtl/>
        </w:rPr>
        <w:t xml:space="preserve">, היא הרשומה המוסדית מטעם </w:t>
      </w:r>
      <w:r w:rsidR="00FA6458">
        <w:rPr>
          <w:rFonts w:ascii="David" w:hAnsi="David"/>
        </w:rPr>
        <w:t>X</w:t>
      </w:r>
      <w:r>
        <w:rPr>
          <w:rFonts w:ascii="David" w:hAnsi="David"/>
          <w:rtl/>
        </w:rPr>
        <w:t xml:space="preserve"> חברה לביטוח בע"מ לפיה בשני מסמכים משנת 2003 של הצעה לביטוח</w:t>
      </w:r>
      <w:r w:rsidR="00DE7B10">
        <w:rPr>
          <w:rFonts w:ascii="David" w:hAnsi="David"/>
          <w:rtl/>
        </w:rPr>
        <w:t xml:space="preserve"> חיים והצעה לביטוח רפואי, ס</w:t>
      </w:r>
      <w:r w:rsidR="00DE7B10">
        <w:rPr>
          <w:rFonts w:ascii="David" w:hAnsi="David" w:hint="cs"/>
          <w:rtl/>
        </w:rPr>
        <w:t xml:space="preserve">' </w:t>
      </w:r>
      <w:r w:rsidR="00DE7B10">
        <w:rPr>
          <w:rFonts w:ascii="David" w:hAnsi="David"/>
          <w:rtl/>
        </w:rPr>
        <w:t>המנוח ציין את שמה של א</w:t>
      </w:r>
      <w:r w:rsidR="00DE7B10">
        <w:rPr>
          <w:rFonts w:ascii="David" w:hAnsi="David" w:hint="cs"/>
          <w:rtl/>
        </w:rPr>
        <w:t>'</w:t>
      </w:r>
      <w:r w:rsidR="00DE7B10">
        <w:rPr>
          <w:rFonts w:ascii="David" w:hAnsi="David"/>
          <w:rtl/>
        </w:rPr>
        <w:t xml:space="preserve"> המנוחה (אמו של מ</w:t>
      </w:r>
      <w:r w:rsidR="00DE7B10">
        <w:rPr>
          <w:rFonts w:ascii="David" w:hAnsi="David" w:hint="cs"/>
          <w:rtl/>
        </w:rPr>
        <w:t>'</w:t>
      </w:r>
      <w:r>
        <w:rPr>
          <w:rFonts w:ascii="David" w:hAnsi="David"/>
          <w:rtl/>
        </w:rPr>
        <w:t xml:space="preserve">) כמוטבת בפוליסות וציין קרבה משפחתית שלה כ"אשה". </w:t>
      </w:r>
    </w:p>
    <w:p w:rsidR="00F626CB" w:rsidRDefault="00F626CB" w:rsidP="00F626CB">
      <w:pPr>
        <w:pStyle w:val="ac"/>
        <w:spacing w:line="360" w:lineRule="auto"/>
        <w:jc w:val="both"/>
        <w:rPr>
          <w:rFonts w:ascii="David" w:hAnsi="David"/>
        </w:rPr>
      </w:pPr>
    </w:p>
    <w:p w:rsidR="00F626CB" w:rsidRDefault="00F626CB" w:rsidP="00F626CB">
      <w:pPr>
        <w:pStyle w:val="ac"/>
        <w:spacing w:line="360" w:lineRule="auto"/>
        <w:jc w:val="both"/>
        <w:rPr>
          <w:rFonts w:ascii="David" w:hAnsi="David"/>
          <w:rtl/>
        </w:rPr>
      </w:pPr>
      <w:r>
        <w:rPr>
          <w:rFonts w:ascii="David" w:hAnsi="David"/>
          <w:rtl/>
        </w:rPr>
        <w:t xml:space="preserve">גם בהקשר זה, מוקשה בעיניי כיצד ניתן לראות במסמכים אלה משום ראייה </w:t>
      </w:r>
      <w:r>
        <w:rPr>
          <w:rFonts w:ascii="David" w:hAnsi="David"/>
          <w:b/>
          <w:bCs/>
          <w:rtl/>
        </w:rPr>
        <w:t>להורות</w:t>
      </w:r>
      <w:r>
        <w:rPr>
          <w:rFonts w:ascii="David" w:hAnsi="David"/>
          <w:rtl/>
        </w:rPr>
        <w:t xml:space="preserve"> דווקא. מינוי מוטבת יכול ללמד על קשר של זוגיות אך לא ני</w:t>
      </w:r>
      <w:r w:rsidR="00DE7B10">
        <w:rPr>
          <w:rFonts w:ascii="David" w:hAnsi="David"/>
          <w:rtl/>
        </w:rPr>
        <w:t>תן לקבוע באמצעותו כי המנוח ס</w:t>
      </w:r>
      <w:r w:rsidR="00DE7B10">
        <w:rPr>
          <w:rFonts w:ascii="David" w:hAnsi="David" w:hint="cs"/>
          <w:rtl/>
        </w:rPr>
        <w:t>'</w:t>
      </w:r>
      <w:r w:rsidR="00DE7B10">
        <w:rPr>
          <w:rFonts w:ascii="David" w:hAnsi="David"/>
          <w:rtl/>
        </w:rPr>
        <w:t xml:space="preserve"> היה הורה לבנה של א</w:t>
      </w:r>
      <w:r w:rsidR="00DE7B10">
        <w:rPr>
          <w:rFonts w:ascii="David" w:hAnsi="David" w:hint="cs"/>
          <w:rtl/>
        </w:rPr>
        <w:t>'</w:t>
      </w:r>
      <w:r>
        <w:rPr>
          <w:rFonts w:ascii="David" w:hAnsi="David"/>
          <w:rtl/>
        </w:rPr>
        <w:t xml:space="preserve"> ז"ל.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אמנם ניתן להניח</w:t>
      </w:r>
      <w:r w:rsidR="00DE7B10">
        <w:rPr>
          <w:rFonts w:ascii="David" w:hAnsi="David"/>
          <w:rtl/>
        </w:rPr>
        <w:t xml:space="preserve"> כאפשרות מסתברת  שאם המנוח ס</w:t>
      </w:r>
      <w:r w:rsidR="00DE7B10">
        <w:rPr>
          <w:rFonts w:ascii="David" w:hAnsi="David" w:hint="cs"/>
          <w:rtl/>
        </w:rPr>
        <w:t>'</w:t>
      </w:r>
      <w:r w:rsidR="00DE7B10">
        <w:rPr>
          <w:rFonts w:ascii="David" w:hAnsi="David"/>
          <w:rtl/>
        </w:rPr>
        <w:t xml:space="preserve"> קבע את אמו של מ</w:t>
      </w:r>
      <w:r w:rsidR="00DE7B10">
        <w:rPr>
          <w:rFonts w:ascii="David" w:hAnsi="David" w:hint="cs"/>
          <w:rtl/>
        </w:rPr>
        <w:t>'</w:t>
      </w:r>
      <w:r w:rsidR="00DE7B10">
        <w:rPr>
          <w:rFonts w:ascii="David" w:hAnsi="David"/>
          <w:rtl/>
        </w:rPr>
        <w:t xml:space="preserve"> כמוטבת ול</w:t>
      </w:r>
      <w:r w:rsidR="00DE7B10">
        <w:rPr>
          <w:rFonts w:ascii="David" w:hAnsi="David" w:hint="cs"/>
          <w:rtl/>
        </w:rPr>
        <w:t>מ'</w:t>
      </w:r>
      <w:r>
        <w:rPr>
          <w:rFonts w:ascii="David" w:hAnsi="David"/>
          <w:rtl/>
        </w:rPr>
        <w:t xml:space="preserve"> קשר של דודות לאחיו של המנוח, הרי שיכולה להי</w:t>
      </w:r>
      <w:r w:rsidR="00DE7B10">
        <w:rPr>
          <w:rFonts w:ascii="David" w:hAnsi="David"/>
          <w:rtl/>
        </w:rPr>
        <w:t>ות זיקה של אבהות בין המנוח ס</w:t>
      </w:r>
      <w:r w:rsidR="00DE7B10">
        <w:rPr>
          <w:rFonts w:ascii="David" w:hAnsi="David" w:hint="cs"/>
          <w:rtl/>
        </w:rPr>
        <w:t>'</w:t>
      </w:r>
      <w:r w:rsidR="00DE7B10">
        <w:rPr>
          <w:rFonts w:ascii="David" w:hAnsi="David"/>
          <w:rtl/>
        </w:rPr>
        <w:t xml:space="preserve"> ל</w:t>
      </w:r>
      <w:r w:rsidR="00DE7B10">
        <w:rPr>
          <w:rFonts w:ascii="David" w:hAnsi="David" w:hint="cs"/>
          <w:rtl/>
        </w:rPr>
        <w:t>מ'</w:t>
      </w:r>
      <w:r>
        <w:rPr>
          <w:rFonts w:ascii="David" w:hAnsi="David"/>
          <w:rtl/>
        </w:rPr>
        <w:t xml:space="preserve">.  אלא </w:t>
      </w:r>
      <w:r>
        <w:rPr>
          <w:rFonts w:ascii="David" w:hAnsi="David"/>
          <w:rtl/>
        </w:rPr>
        <w:lastRenderedPageBreak/>
        <w:t xml:space="preserve">שהישענות בעיקר על שני אלה, אין בהם כדי להסיר את סימני השאלה שצוינו לעיל ולהובילם אל חציית מאזן ההסתברות הנדרש. </w:t>
      </w:r>
    </w:p>
    <w:p w:rsidR="00F626CB" w:rsidRDefault="00F626CB" w:rsidP="00F626CB">
      <w:pPr>
        <w:pStyle w:val="ac"/>
        <w:spacing w:line="360" w:lineRule="auto"/>
        <w:jc w:val="both"/>
        <w:rPr>
          <w:rFonts w:ascii="David" w:hAnsi="David"/>
          <w:rtl/>
        </w:rPr>
      </w:pPr>
    </w:p>
    <w:p w:rsidR="00F626CB" w:rsidRDefault="00F626CB" w:rsidP="00F626CB">
      <w:pPr>
        <w:pStyle w:val="ac"/>
        <w:numPr>
          <w:ilvl w:val="0"/>
          <w:numId w:val="6"/>
        </w:numPr>
        <w:spacing w:line="360" w:lineRule="auto"/>
        <w:jc w:val="both"/>
        <w:rPr>
          <w:rFonts w:ascii="David" w:hAnsi="David"/>
          <w:rtl/>
        </w:rPr>
      </w:pPr>
      <w:r>
        <w:rPr>
          <w:rFonts w:ascii="David" w:hAnsi="David"/>
          <w:rtl/>
        </w:rPr>
        <w:t>כך, אף לא ה</w:t>
      </w:r>
      <w:r w:rsidR="00DE7B10">
        <w:rPr>
          <w:rFonts w:ascii="David" w:hAnsi="David"/>
          <w:rtl/>
        </w:rPr>
        <w:t>וצג לפניי  הסבר לשאלה מדוע ס</w:t>
      </w:r>
      <w:r w:rsidR="00DE7B10">
        <w:rPr>
          <w:rFonts w:ascii="David" w:hAnsi="David" w:hint="cs"/>
          <w:rtl/>
        </w:rPr>
        <w:t>'</w:t>
      </w:r>
      <w:r>
        <w:rPr>
          <w:rFonts w:ascii="David" w:hAnsi="David"/>
          <w:rtl/>
        </w:rPr>
        <w:t xml:space="preserve"> המנוח נמנע מלפעול במ</w:t>
      </w:r>
      <w:r w:rsidR="00DE7B10">
        <w:rPr>
          <w:rFonts w:ascii="David" w:hAnsi="David"/>
          <w:rtl/>
        </w:rPr>
        <w:t>שך יותר מעשור מאז נולד מ</w:t>
      </w:r>
      <w:r w:rsidR="00DE7B10">
        <w:rPr>
          <w:rFonts w:ascii="David" w:hAnsi="David" w:hint="cs"/>
          <w:rtl/>
        </w:rPr>
        <w:t>'</w:t>
      </w:r>
      <w:r>
        <w:rPr>
          <w:rFonts w:ascii="David" w:hAnsi="David"/>
          <w:rtl/>
        </w:rPr>
        <w:t xml:space="preserve"> לשינוי פרטי מרשם האב </w:t>
      </w:r>
      <w:r w:rsidR="00DE7B10">
        <w:rPr>
          <w:rFonts w:ascii="David" w:hAnsi="David"/>
          <w:rtl/>
        </w:rPr>
        <w:t>ברוסיה או להכרה באבהות כלפי מ</w:t>
      </w:r>
      <w:r w:rsidR="00DE7B10">
        <w:rPr>
          <w:rFonts w:ascii="David" w:hAnsi="David" w:hint="cs"/>
          <w:rtl/>
        </w:rPr>
        <w:t>'</w:t>
      </w:r>
      <w:r>
        <w:rPr>
          <w:rFonts w:ascii="David" w:hAnsi="David"/>
          <w:rtl/>
        </w:rPr>
        <w:t xml:space="preserve"> – בישראל או ברוסיה.  </w:t>
      </w:r>
    </w:p>
    <w:p w:rsidR="00F626CB" w:rsidRDefault="00F626CB" w:rsidP="00F626CB">
      <w:pPr>
        <w:pStyle w:val="ac"/>
        <w:spacing w:line="360" w:lineRule="auto"/>
        <w:jc w:val="both"/>
        <w:rPr>
          <w:rFonts w:ascii="David" w:hAnsi="David"/>
          <w:rtl/>
        </w:rPr>
      </w:pPr>
    </w:p>
    <w:p w:rsidR="00F626CB" w:rsidRDefault="00F626CB" w:rsidP="00F626CB">
      <w:pPr>
        <w:pStyle w:val="ac"/>
        <w:numPr>
          <w:ilvl w:val="0"/>
          <w:numId w:val="6"/>
        </w:numPr>
        <w:spacing w:line="360" w:lineRule="auto"/>
        <w:jc w:val="both"/>
        <w:rPr>
          <w:rFonts w:ascii="David" w:hAnsi="David"/>
          <w:rtl/>
        </w:rPr>
      </w:pPr>
      <w:r>
        <w:rPr>
          <w:rFonts w:ascii="David" w:hAnsi="David"/>
          <w:rtl/>
        </w:rPr>
        <w:t>אמנם, הראיות שהוצגו ואשר נותרו בתיק א</w:t>
      </w:r>
      <w:r w:rsidR="00DE7B10">
        <w:rPr>
          <w:rFonts w:ascii="David" w:hAnsi="David"/>
          <w:rtl/>
        </w:rPr>
        <w:t>ינן מנותקות מסיפור חייו של ס</w:t>
      </w:r>
      <w:r w:rsidR="00DE7B10">
        <w:rPr>
          <w:rFonts w:ascii="David" w:hAnsi="David" w:hint="cs"/>
          <w:rtl/>
        </w:rPr>
        <w:t>'</w:t>
      </w:r>
      <w:r>
        <w:rPr>
          <w:rFonts w:ascii="David" w:hAnsi="David"/>
          <w:rtl/>
        </w:rPr>
        <w:t xml:space="preserve"> המנוח. אולם אלה מלמדות תמונה חלקית מדי וחסרה מדי. </w:t>
      </w:r>
    </w:p>
    <w:p w:rsidR="00F626CB" w:rsidRDefault="00F626CB" w:rsidP="00F626CB">
      <w:pPr>
        <w:pStyle w:val="ac"/>
        <w:rPr>
          <w:rFonts w:ascii="David" w:hAnsi="David"/>
        </w:rPr>
      </w:pPr>
    </w:p>
    <w:p w:rsidR="00F626CB" w:rsidRDefault="00F626CB" w:rsidP="00F626CB">
      <w:pPr>
        <w:pStyle w:val="ac"/>
        <w:spacing w:line="360" w:lineRule="auto"/>
        <w:jc w:val="both"/>
        <w:rPr>
          <w:rFonts w:ascii="David" w:hAnsi="David"/>
          <w:rtl/>
        </w:rPr>
      </w:pPr>
      <w:r>
        <w:rPr>
          <w:rFonts w:ascii="David" w:hAnsi="David"/>
          <w:rtl/>
        </w:rPr>
        <w:t>אף סיפורן של התמונות שצורפו על ידי התובעים ביו</w:t>
      </w:r>
      <w:r w:rsidR="00DE7B10">
        <w:rPr>
          <w:rFonts w:ascii="David" w:hAnsi="David"/>
          <w:rtl/>
        </w:rPr>
        <w:t>ם 12.7.22 כתמונות משותפות לס</w:t>
      </w:r>
      <w:r w:rsidR="00DE7B10">
        <w:rPr>
          <w:rFonts w:ascii="David" w:hAnsi="David" w:hint="cs"/>
          <w:rtl/>
        </w:rPr>
        <w:t>'</w:t>
      </w:r>
      <w:r w:rsidR="00DE7B10">
        <w:rPr>
          <w:rFonts w:ascii="David" w:hAnsi="David"/>
          <w:rtl/>
        </w:rPr>
        <w:t xml:space="preserve"> המנוח ול</w:t>
      </w:r>
      <w:r w:rsidR="00DE7B10">
        <w:rPr>
          <w:rFonts w:ascii="David" w:hAnsi="David" w:hint="cs"/>
          <w:rtl/>
        </w:rPr>
        <w:t>מ'</w:t>
      </w:r>
      <w:r>
        <w:rPr>
          <w:rFonts w:ascii="David" w:hAnsi="David"/>
          <w:rtl/>
        </w:rPr>
        <w:t xml:space="preserve">, לא הובהר כדבעי. זאת, מקום בו על מנת לקשור זיקה משפטית בין שני אנשים בקשר של הורה וילד על יסוד תצלומים לכל הפחות נדרשים בני משפחה שיוכלו לספרו ולחבר בין הקצוות ולא אך להסכים לעצם הרישום (כפי שנעשה במקרה שלפניי). תצלומים לבדם, ללא הקשרם המשפחתי, אין בהם די.  </w:t>
      </w:r>
    </w:p>
    <w:p w:rsidR="00F626CB" w:rsidRDefault="00F626CB" w:rsidP="00F626CB">
      <w:pPr>
        <w:spacing w:line="360" w:lineRule="auto"/>
        <w:jc w:val="both"/>
        <w:rPr>
          <w:rFonts w:ascii="David" w:hAnsi="David"/>
          <w:rtl/>
        </w:rPr>
      </w:pPr>
    </w:p>
    <w:p w:rsidR="00F626CB" w:rsidRDefault="00F626CB" w:rsidP="00F626CB">
      <w:pPr>
        <w:pStyle w:val="ac"/>
        <w:numPr>
          <w:ilvl w:val="0"/>
          <w:numId w:val="6"/>
        </w:numPr>
        <w:spacing w:line="360" w:lineRule="auto"/>
        <w:jc w:val="both"/>
        <w:rPr>
          <w:rFonts w:ascii="David" w:hAnsi="David"/>
        </w:rPr>
      </w:pPr>
      <w:r>
        <w:rPr>
          <w:rFonts w:ascii="David" w:hAnsi="David"/>
          <w:rtl/>
        </w:rPr>
        <w:t xml:space="preserve">שינוי פרטי מרשם אינו דבר של מה בכך, </w:t>
      </w:r>
      <w:r w:rsidR="00DE7B10">
        <w:rPr>
          <w:rFonts w:ascii="David" w:hAnsi="David"/>
          <w:rtl/>
        </w:rPr>
        <w:t>כפי שאף הבהיר ב"כ היועמ"ש. ס</w:t>
      </w:r>
      <w:r w:rsidR="00DE7B10">
        <w:rPr>
          <w:rFonts w:ascii="David" w:hAnsi="David" w:hint="cs"/>
          <w:rtl/>
        </w:rPr>
        <w:t>'</w:t>
      </w:r>
      <w:r>
        <w:rPr>
          <w:rFonts w:ascii="David" w:hAnsi="David"/>
          <w:rtl/>
        </w:rPr>
        <w:t xml:space="preserve"> המנוח נפטר ללא רישום ילדים על שמו. לרישום שונה נפקות על פרטי חייו של אדם שהלך לבית עולמו שאינו יכול להשמיע את קולו ולא רק בכ</w:t>
      </w:r>
      <w:r w:rsidR="00A72A45">
        <w:rPr>
          <w:rFonts w:ascii="David" w:hAnsi="David"/>
          <w:rtl/>
        </w:rPr>
        <w:t>ל הנוגע למעמד שיכול ויינתן למ</w:t>
      </w:r>
      <w:r w:rsidR="00A72A45">
        <w:rPr>
          <w:rFonts w:ascii="David" w:hAnsi="David" w:hint="cs"/>
          <w:rtl/>
        </w:rPr>
        <w:t>'</w:t>
      </w:r>
      <w:r>
        <w:rPr>
          <w:rFonts w:ascii="David" w:hAnsi="David"/>
          <w:rtl/>
        </w:rPr>
        <w:t>. באין אפשרו</w:t>
      </w:r>
      <w:r w:rsidR="00DE7B10">
        <w:rPr>
          <w:rFonts w:ascii="David" w:hAnsi="David"/>
          <w:rtl/>
        </w:rPr>
        <w:t>ת לביצוע של בדיקה גנטית בין מ</w:t>
      </w:r>
      <w:r w:rsidR="00DE7B10">
        <w:rPr>
          <w:rFonts w:ascii="David" w:hAnsi="David" w:hint="cs"/>
          <w:rtl/>
        </w:rPr>
        <w:t>'</w:t>
      </w:r>
      <w:r>
        <w:rPr>
          <w:rFonts w:ascii="David" w:hAnsi="David"/>
          <w:rtl/>
        </w:rPr>
        <w:t xml:space="preserve"> ובין איזה מהאחים המנוחים, הרי שעל משקלן של ראיות בדבר קשר משפחתי להיות מספק ולו בהטייה של מאזן ההסתברות, כבהליך אזרחי. של מנוח. </w:t>
      </w:r>
    </w:p>
    <w:p w:rsidR="00F626CB" w:rsidRDefault="00F626CB" w:rsidP="00F626CB">
      <w:pPr>
        <w:pStyle w:val="ac"/>
        <w:spacing w:line="360" w:lineRule="auto"/>
        <w:jc w:val="both"/>
        <w:rPr>
          <w:rFonts w:ascii="David" w:hAnsi="David"/>
        </w:rPr>
      </w:pPr>
    </w:p>
    <w:p w:rsidR="00F626CB" w:rsidRDefault="00F626CB" w:rsidP="00F626CB">
      <w:pPr>
        <w:pStyle w:val="ac"/>
        <w:spacing w:line="360" w:lineRule="auto"/>
        <w:jc w:val="both"/>
        <w:rPr>
          <w:rFonts w:ascii="David" w:hAnsi="David"/>
          <w:rtl/>
        </w:rPr>
      </w:pPr>
      <w:r>
        <w:rPr>
          <w:rFonts w:ascii="David" w:hAnsi="David"/>
          <w:rtl/>
        </w:rPr>
        <w:t>אלא שבניגוד לעמדתו של ב"כ היועמ"ש, במקרה הספציפי שלפניי לא מצאתי להורות בינארית על דחייתה של התביעה.</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 xml:space="preserve">שכן דיני משפחה כשמם כן הם, עניינם ה"בטן הרכה" של המשפט והחברה. דחייתה של התביעה שלפניי באבחת עט מנימוקים הנובעים בעיקרם מחזקות בדבר נטל השכנוע עלולה להוביל במקרה נקודתי זה לעיוות דין בלתי רצוי, ולו בהתחשב בסעד שהתבקש בתביעה זו (בהקשר זה השוו: תלה"מ (ת"א) 15467-09-22 </w:t>
      </w:r>
      <w:r>
        <w:rPr>
          <w:rFonts w:ascii="David" w:hAnsi="David"/>
          <w:b/>
          <w:bCs/>
          <w:rtl/>
        </w:rPr>
        <w:t>א.א נ' ט.ו</w:t>
      </w:r>
      <w:r>
        <w:rPr>
          <w:rFonts w:ascii="David" w:hAnsi="David"/>
          <w:rtl/>
        </w:rPr>
        <w:t xml:space="preserve"> (מצוי במאגרים המשפטיים ; 16.6.24) פסקה 51 לפסק הדין).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שכן חלקיו הבודדים של התצרף הראייתי שנותרו בתיק, בכלל זה חוות הדעת בדבר קשר של דודות בין התובעים, מלמדים אפשרות ביחס לקיומ</w:t>
      </w:r>
      <w:r w:rsidR="00DE7B10">
        <w:rPr>
          <w:rFonts w:ascii="David" w:hAnsi="David"/>
          <w:rtl/>
        </w:rPr>
        <w:t>ה של זיקת הורות בין מ</w:t>
      </w:r>
      <w:r w:rsidR="00DE7B10">
        <w:rPr>
          <w:rFonts w:ascii="David" w:hAnsi="David" w:hint="cs"/>
          <w:rtl/>
        </w:rPr>
        <w:t>'</w:t>
      </w:r>
      <w:r w:rsidR="00DE7B10">
        <w:rPr>
          <w:rFonts w:ascii="David" w:hAnsi="David"/>
          <w:rtl/>
        </w:rPr>
        <w:t xml:space="preserve"> ובין ס</w:t>
      </w:r>
      <w:r w:rsidR="00DE7B10">
        <w:rPr>
          <w:rFonts w:ascii="David" w:hAnsi="David" w:hint="cs"/>
          <w:rtl/>
        </w:rPr>
        <w:t>'</w:t>
      </w:r>
      <w:r>
        <w:rPr>
          <w:rFonts w:ascii="David" w:hAnsi="David"/>
          <w:rtl/>
        </w:rPr>
        <w:t xml:space="preserve"> המנוח. אלא שכפי שהבהרתי לעיל, אין בהם כדי להטות את נטל השכנוע לעברה של קבלת התובענה. </w:t>
      </w:r>
    </w:p>
    <w:p w:rsidR="00F626CB" w:rsidRDefault="00F626CB" w:rsidP="00F626CB">
      <w:pPr>
        <w:pStyle w:val="ac"/>
        <w:spacing w:line="360" w:lineRule="auto"/>
        <w:jc w:val="both"/>
        <w:rPr>
          <w:rFonts w:ascii="David" w:hAnsi="David"/>
          <w:rtl/>
        </w:rPr>
      </w:pPr>
    </w:p>
    <w:p w:rsidR="00F626CB" w:rsidRDefault="00F626CB" w:rsidP="00F626CB">
      <w:pPr>
        <w:pStyle w:val="ac"/>
        <w:numPr>
          <w:ilvl w:val="0"/>
          <w:numId w:val="6"/>
        </w:numPr>
        <w:spacing w:line="360" w:lineRule="auto"/>
        <w:jc w:val="both"/>
        <w:rPr>
          <w:rFonts w:ascii="David" w:hAnsi="David"/>
          <w:rtl/>
        </w:rPr>
      </w:pPr>
      <w:r>
        <w:rPr>
          <w:rFonts w:ascii="David" w:hAnsi="David"/>
          <w:rtl/>
        </w:rPr>
        <w:t xml:space="preserve">כאמור, בנסיבותיו הייחודיות של ההליך שלפני מסופקני אם יש מקום לחרוץ את גורלו של ההליך אך תוך הפעלת החזקות בדבר נטל השכנוע. התרופה המתאימה במקרה שלפניי – בכלל זה משיקולים של מינהל שיפוטי תקין המביא בחשבון גם עניינם של מתדיינים אחרים הממתינים לתורם – אף איננה במתן אפשרות לאיזה מן הצדדים בהליך שלפני לבצע "מקצה שיפורים" ראייתי בתיק זה. שכן מדובר בהליך שנמשך זמן רב עד כה, מקום בו בית המשפט עצמו גם אפשר לצדדים מרחב דיוני ניכר, שבסופו של יום הוביל לחסר ראייתי. מרחב, שבא גם אינהרנטית על חשבונם של מתדיינים אחרים, תוך הקצאת משאבי שיפוט ומינהל בהקשרם.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התרופה ההולמת בעיני בנסיבותיו של מקרה זה היא בסילוקו של ההליך באופן שלא יהווה מעשה בי-דין, ויאפשר</w:t>
      </w:r>
      <w:r w:rsidR="00DE7B10">
        <w:rPr>
          <w:rFonts w:ascii="David" w:hAnsi="David"/>
          <w:rtl/>
        </w:rPr>
        <w:t xml:space="preserve"> למ</w:t>
      </w:r>
      <w:r w:rsidR="00DE7B10">
        <w:rPr>
          <w:rFonts w:ascii="David" w:hAnsi="David" w:hint="cs"/>
          <w:rtl/>
        </w:rPr>
        <w:t>'</w:t>
      </w:r>
      <w:r>
        <w:rPr>
          <w:rFonts w:ascii="David" w:hAnsi="David"/>
          <w:rtl/>
        </w:rPr>
        <w:t xml:space="preserve"> – שלא על חשבונם של מתדיינים אחרים – להביא במידת הצורך את עניינו לבירור מחודש, תוך שקילה מראש של הדרישות הראייתיות המצופות – גם אם נסיבתיות. </w:t>
      </w:r>
    </w:p>
    <w:p w:rsidR="00F626CB" w:rsidRDefault="00F626CB" w:rsidP="00F626CB">
      <w:pPr>
        <w:pStyle w:val="ac"/>
        <w:spacing w:line="360" w:lineRule="auto"/>
        <w:jc w:val="both"/>
        <w:rPr>
          <w:rFonts w:ascii="David" w:hAnsi="David"/>
        </w:rPr>
      </w:pPr>
    </w:p>
    <w:p w:rsidR="00F626CB" w:rsidRDefault="00F626CB" w:rsidP="00F626CB">
      <w:pPr>
        <w:pStyle w:val="ac"/>
        <w:numPr>
          <w:ilvl w:val="0"/>
          <w:numId w:val="6"/>
        </w:numPr>
        <w:spacing w:line="360" w:lineRule="auto"/>
        <w:jc w:val="both"/>
        <w:rPr>
          <w:rFonts w:ascii="David" w:hAnsi="David"/>
        </w:rPr>
      </w:pPr>
      <w:r>
        <w:rPr>
          <w:rFonts w:ascii="David" w:hAnsi="David"/>
          <w:rtl/>
        </w:rPr>
        <w:t>הלכך, אני מורה כדלקמן:</w:t>
      </w:r>
    </w:p>
    <w:p w:rsidR="00F626CB" w:rsidRDefault="00F626CB" w:rsidP="00F626CB">
      <w:pPr>
        <w:pStyle w:val="ac"/>
        <w:numPr>
          <w:ilvl w:val="0"/>
          <w:numId w:val="7"/>
        </w:numPr>
        <w:spacing w:line="360" w:lineRule="auto"/>
        <w:jc w:val="both"/>
        <w:rPr>
          <w:rFonts w:ascii="David" w:hAnsi="David"/>
        </w:rPr>
      </w:pPr>
      <w:r>
        <w:rPr>
          <w:rFonts w:ascii="David" w:hAnsi="David"/>
          <w:rtl/>
        </w:rPr>
        <w:t xml:space="preserve">ממכלול הנימוקים שפורטו, אני מורה על מחיקת התובענה. </w:t>
      </w:r>
    </w:p>
    <w:p w:rsidR="00F626CB" w:rsidRDefault="00DE7B10" w:rsidP="00F626CB">
      <w:pPr>
        <w:pStyle w:val="ac"/>
        <w:numPr>
          <w:ilvl w:val="0"/>
          <w:numId w:val="7"/>
        </w:numPr>
        <w:spacing w:line="360" w:lineRule="auto"/>
        <w:jc w:val="both"/>
        <w:rPr>
          <w:rFonts w:ascii="David" w:hAnsi="David"/>
        </w:rPr>
      </w:pPr>
      <w:r>
        <w:rPr>
          <w:rFonts w:ascii="David" w:hAnsi="David"/>
          <w:rtl/>
        </w:rPr>
        <w:t>ככל שבעתיד יוגש הליך על ידי מ</w:t>
      </w:r>
      <w:r>
        <w:rPr>
          <w:rFonts w:ascii="David" w:hAnsi="David" w:hint="cs"/>
          <w:rtl/>
        </w:rPr>
        <w:t>'</w:t>
      </w:r>
      <w:r w:rsidR="00F626CB">
        <w:rPr>
          <w:rFonts w:ascii="David" w:hAnsi="David"/>
          <w:rtl/>
        </w:rPr>
        <w:t xml:space="preserve"> בקשר עם הסעד נושא התובענה, חוות הדעת וכלל הראיות </w:t>
      </w:r>
      <w:r w:rsidR="00F626CB">
        <w:rPr>
          <w:rFonts w:ascii="David" w:hAnsi="David"/>
          <w:b/>
          <w:bCs/>
          <w:u w:val="single"/>
          <w:rtl/>
        </w:rPr>
        <w:t>שהותרו בתיק</w:t>
      </w:r>
      <w:r w:rsidR="00F626CB">
        <w:rPr>
          <w:rFonts w:ascii="David" w:hAnsi="David"/>
          <w:rtl/>
        </w:rPr>
        <w:t xml:space="preserve">, תשמשנה גם לצורך ההליך האחר. </w:t>
      </w:r>
    </w:p>
    <w:p w:rsidR="00F626CB" w:rsidRDefault="00A72A45" w:rsidP="00F626CB">
      <w:pPr>
        <w:pStyle w:val="ac"/>
        <w:numPr>
          <w:ilvl w:val="0"/>
          <w:numId w:val="7"/>
        </w:numPr>
        <w:spacing w:line="360" w:lineRule="auto"/>
        <w:jc w:val="both"/>
        <w:rPr>
          <w:rFonts w:ascii="David" w:hAnsi="David"/>
        </w:rPr>
      </w:pPr>
      <w:r>
        <w:rPr>
          <w:rFonts w:ascii="David" w:hAnsi="David"/>
          <w:rtl/>
        </w:rPr>
        <w:t>ככל שמ</w:t>
      </w:r>
      <w:r>
        <w:rPr>
          <w:rFonts w:ascii="David" w:hAnsi="David" w:hint="cs"/>
          <w:rtl/>
        </w:rPr>
        <w:t xml:space="preserve">' </w:t>
      </w:r>
      <w:r w:rsidR="00F626CB">
        <w:rPr>
          <w:rFonts w:ascii="David" w:hAnsi="David"/>
          <w:rtl/>
        </w:rPr>
        <w:t>יחפוץ להידרש אך ורק להצהרה בדב</w:t>
      </w:r>
      <w:r w:rsidR="00DE7B10">
        <w:rPr>
          <w:rFonts w:ascii="David" w:hAnsi="David"/>
          <w:rtl/>
        </w:rPr>
        <w:t>ר קשר של דודות בינו ובין א</w:t>
      </w:r>
      <w:r w:rsidR="00DE7B10">
        <w:rPr>
          <w:rFonts w:ascii="David" w:hAnsi="David" w:hint="cs"/>
          <w:rtl/>
        </w:rPr>
        <w:t>'</w:t>
      </w:r>
      <w:r w:rsidR="00F626CB">
        <w:rPr>
          <w:rFonts w:ascii="David" w:hAnsi="David"/>
          <w:rtl/>
        </w:rPr>
        <w:t xml:space="preserve">, שעה שסעד זה כשלעצמו מוסכם על ב"כ היועמ"ש, לא תהא מניעה להידרש לו – ולו בלבד – בהליך זה, גם לאחר סגירתו.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rtl/>
        </w:rPr>
      </w:pPr>
      <w:r>
        <w:rPr>
          <w:rFonts w:ascii="David" w:hAnsi="David"/>
          <w:rtl/>
        </w:rPr>
        <w:t xml:space="preserve">בהתחשב בתוצאה אליה הגעתי, איני עושה צו להוצאות לאיזה מהצדדים. </w:t>
      </w:r>
    </w:p>
    <w:p w:rsidR="00F626CB" w:rsidRDefault="00F626CB" w:rsidP="00F626CB">
      <w:pPr>
        <w:pStyle w:val="ac"/>
        <w:spacing w:line="360" w:lineRule="auto"/>
        <w:jc w:val="both"/>
        <w:rPr>
          <w:rFonts w:ascii="David" w:hAnsi="David"/>
          <w:rtl/>
        </w:rPr>
      </w:pPr>
    </w:p>
    <w:p w:rsidR="00F626CB" w:rsidRDefault="00F626CB" w:rsidP="00F626CB">
      <w:pPr>
        <w:pStyle w:val="ac"/>
        <w:spacing w:line="360" w:lineRule="auto"/>
        <w:jc w:val="both"/>
        <w:rPr>
          <w:rFonts w:ascii="David" w:hAnsi="David"/>
          <w:b/>
          <w:bCs/>
          <w:rtl/>
        </w:rPr>
      </w:pPr>
      <w:r>
        <w:rPr>
          <w:rFonts w:ascii="David" w:hAnsi="David"/>
          <w:b/>
          <w:bCs/>
          <w:rtl/>
        </w:rPr>
        <w:t xml:space="preserve">פסק הדין מותר בפרסום בהשמטת מלוא פרטי הצדדים ובני משפחתם. </w:t>
      </w:r>
    </w:p>
    <w:p w:rsidR="00F626CB" w:rsidRDefault="00F626CB" w:rsidP="00F626CB">
      <w:pPr>
        <w:pStyle w:val="ac"/>
        <w:spacing w:line="360" w:lineRule="auto"/>
        <w:jc w:val="both"/>
        <w:rPr>
          <w:rFonts w:ascii="David" w:hAnsi="David"/>
          <w:b/>
          <w:bCs/>
          <w:rtl/>
        </w:rPr>
      </w:pPr>
      <w:r>
        <w:rPr>
          <w:rFonts w:ascii="David" w:hAnsi="David"/>
          <w:b/>
          <w:bCs/>
          <w:rtl/>
        </w:rPr>
        <w:t xml:space="preserve">המזכירות תמציא פסק הדין לצדדים ותסגור את התיק. </w:t>
      </w:r>
    </w:p>
    <w:p w:rsidR="00F626CB" w:rsidRDefault="00F626CB" w:rsidP="00F626CB">
      <w:pPr>
        <w:spacing w:line="360" w:lineRule="auto"/>
        <w:ind w:firstLine="720"/>
        <w:jc w:val="both"/>
        <w:rPr>
          <w:rFonts w:ascii="Arial" w:hAnsi="Arial"/>
          <w:noProof w:val="0"/>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אוגוסט 2024</w:t>
          </w:r>
        </w:sdtContent>
      </w:sdt>
      <w:r>
        <w:rPr>
          <w:rFonts w:ascii="Arial" w:hAnsi="Arial"/>
          <w:noProof w:val="0"/>
          <w:rtl/>
        </w:rPr>
        <w:t>, בהעדר הצדדים.</w:t>
      </w:r>
    </w:p>
    <w:p w:rsidR="00F626CB" w:rsidRDefault="00F626CB" w:rsidP="00F626C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74047E51A85A467296BF1B095C503698"/>
          </w:placeholder>
          <w:showingPlcHdr/>
          <w:text w:multiLine="1"/>
        </w:sdtPr>
        <w:sdtEndPr/>
        <w:sdtContent/>
      </w:sdt>
      <w:r>
        <w:rPr>
          <w:rFonts w:ascii="Arial" w:hAnsi="Arial"/>
          <w:noProof w:val="0"/>
          <w:rtl/>
        </w:rPr>
        <w:tab/>
      </w:r>
      <w:r>
        <w:rPr>
          <w:rFonts w:ascii="Arial" w:hAnsi="Arial"/>
          <w:noProof w:val="0"/>
          <w:rtl/>
        </w:rPr>
        <w:tab/>
        <w:t xml:space="preserve"> </w:t>
      </w:r>
    </w:p>
    <w:p w:rsidR="00F626CB" w:rsidRDefault="001547A8" w:rsidP="00F626CB">
      <w:pPr>
        <w:spacing w:line="360" w:lineRule="auto"/>
        <w:ind w:left="3600" w:firstLine="720"/>
        <w:rPr>
          <w:rtl/>
        </w:rPr>
      </w:pPr>
      <w:sdt>
        <w:sdtPr>
          <w:rPr>
            <w:rtl/>
          </w:rPr>
          <w:alias w:val="MergeField"/>
          <w:tag w:val="1237"/>
          <w:id w:val="2095591361"/>
        </w:sdtPr>
        <w:sdtEndPr/>
        <w:sdtContent>
          <w:r w:rsidR="00F626CB">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F626CB" w:rsidRDefault="00F626CB" w:rsidP="00F626CB">
      <w:pPr>
        <w:spacing w:line="360" w:lineRule="auto"/>
        <w:ind w:left="3600" w:firstLine="720"/>
        <w:rPr>
          <w:rFonts w:ascii="Arial" w:hAnsi="Arial"/>
          <w:noProof w:val="0"/>
        </w:rPr>
      </w:pPr>
    </w:p>
    <w:p w:rsidR="00F626CB" w:rsidRDefault="00F626CB" w:rsidP="00F626CB">
      <w:pPr>
        <w:spacing w:line="360" w:lineRule="auto"/>
        <w:jc w:val="both"/>
        <w:rPr>
          <w:rFonts w:ascii="Arial" w:hAnsi="Arial"/>
          <w:noProof w:val="0"/>
          <w:rtl/>
        </w:rPr>
      </w:pPr>
    </w:p>
    <w:p w:rsidR="00F626CB" w:rsidRDefault="00F626CB" w:rsidP="00F626CB">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7A8" w:rsidRDefault="001547A8" w:rsidP="00A30504">
      <w:r>
        <w:separator/>
      </w:r>
    </w:p>
  </w:endnote>
  <w:endnote w:type="continuationSeparator" w:id="0">
    <w:p w:rsidR="001547A8" w:rsidRDefault="001547A8"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EF29FA">
      <w:rPr>
        <w:rStyle w:val="a8"/>
        <w:rtl/>
      </w:rPr>
      <w:t>11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EF29FA">
      <w:rPr>
        <w:rStyle w:val="a8"/>
        <w:rtl/>
      </w:rPr>
      <w:t>11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7A8" w:rsidRDefault="001547A8" w:rsidP="00A30504">
      <w:r>
        <w:separator/>
      </w:r>
    </w:p>
  </w:footnote>
  <w:footnote w:type="continuationSeparator" w:id="0">
    <w:p w:rsidR="001547A8" w:rsidRDefault="001547A8"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4820"/>
      <w:gridCol w:w="3486"/>
      <w:gridCol w:w="199"/>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F626CB" w:rsidTr="00F626CB">
      <w:trPr>
        <w:gridAfter w:val="2"/>
        <w:wAfter w:w="3685" w:type="dxa"/>
        <w:trHeight w:val="337"/>
        <w:jc w:val="center"/>
      </w:trPr>
      <w:tc>
        <w:tcPr>
          <w:tcW w:w="4820" w:type="dxa"/>
        </w:tcPr>
        <w:p w:rsidR="00F626CB" w:rsidRDefault="00F626CB" w:rsidP="00F626CB">
          <w:pPr>
            <w:rPr>
              <w:b/>
              <w:bCs/>
              <w:noProof w:val="0"/>
              <w:sz w:val="26"/>
              <w:szCs w:val="26"/>
            </w:rPr>
          </w:pPr>
        </w:p>
      </w:tc>
    </w:tr>
    <w:tr w:rsidR="00F626CB" w:rsidTr="00F626CB">
      <w:trPr>
        <w:gridAfter w:val="1"/>
        <w:wAfter w:w="199" w:type="dxa"/>
        <w:trHeight w:val="80"/>
        <w:jc w:val="center"/>
      </w:trPr>
      <w:tc>
        <w:tcPr>
          <w:tcW w:w="8306" w:type="dxa"/>
          <w:gridSpan w:val="2"/>
        </w:tcPr>
        <w:p w:rsidR="00F626CB" w:rsidRDefault="001547A8" w:rsidP="00F626CB">
          <w:pPr>
            <w:rPr>
              <w:b/>
              <w:bCs/>
              <w:noProof w:val="0"/>
              <w:sz w:val="26"/>
              <w:szCs w:val="26"/>
              <w:rtl/>
            </w:rPr>
          </w:pPr>
          <w:sdt>
            <w:sdtPr>
              <w:rPr>
                <w:b/>
                <w:bCs/>
                <w:noProof w:val="0"/>
                <w:sz w:val="26"/>
                <w:szCs w:val="26"/>
                <w:rtl/>
              </w:rPr>
              <w:alias w:val="1170"/>
              <w:tag w:val="1170"/>
              <w:id w:val="299038016"/>
              <w:text w:multiLine="1"/>
            </w:sdtPr>
            <w:sdtEndPr/>
            <w:sdtContent>
              <w:r w:rsidR="00F626CB">
                <w:rPr>
                  <w:b/>
                  <w:bCs/>
                  <w:noProof w:val="0"/>
                  <w:sz w:val="26"/>
                  <w:szCs w:val="26"/>
                  <w:rtl/>
                </w:rPr>
                <w:t>תמ"ש</w:t>
              </w:r>
            </w:sdtContent>
          </w:sdt>
          <w:r w:rsidR="00F626CB">
            <w:rPr>
              <w:b/>
              <w:bCs/>
              <w:noProof w:val="0"/>
              <w:sz w:val="26"/>
              <w:szCs w:val="26"/>
              <w:rtl/>
            </w:rPr>
            <w:t xml:space="preserve"> </w:t>
          </w:r>
          <w:sdt>
            <w:sdtPr>
              <w:rPr>
                <w:b/>
                <w:bCs/>
                <w:noProof w:val="0"/>
                <w:sz w:val="26"/>
                <w:szCs w:val="26"/>
                <w:rtl/>
              </w:rPr>
              <w:alias w:val="1171"/>
              <w:tag w:val="1171"/>
              <w:id w:val="81650337"/>
              <w:text w:multiLine="1"/>
            </w:sdtPr>
            <w:sdtEndPr/>
            <w:sdtContent>
              <w:r w:rsidR="00F626CB">
                <w:rPr>
                  <w:b/>
                  <w:bCs/>
                  <w:noProof w:val="0"/>
                  <w:sz w:val="26"/>
                  <w:szCs w:val="26"/>
                  <w:rtl/>
                </w:rPr>
                <w:t>54216-04-21</w:t>
              </w:r>
            </w:sdtContent>
          </w:sdt>
          <w:r w:rsidR="00F626CB">
            <w:rPr>
              <w:b/>
              <w:bCs/>
              <w:noProof w:val="0"/>
              <w:sz w:val="26"/>
              <w:szCs w:val="26"/>
              <w:rtl/>
            </w:rPr>
            <w:t xml:space="preserve"> </w:t>
          </w:r>
          <w:sdt>
            <w:sdtPr>
              <w:rPr>
                <w:b/>
                <w:bCs/>
                <w:noProof w:val="0"/>
                <w:sz w:val="26"/>
                <w:szCs w:val="26"/>
                <w:rtl/>
              </w:rPr>
              <w:alias w:val="1172"/>
              <w:tag w:val="1172"/>
              <w:id w:val="-1742169342"/>
              <w:text w:multiLine="1"/>
            </w:sdtPr>
            <w:sdtEndPr/>
            <w:sdtContent>
              <w:r w:rsidR="006D1BD0">
                <w:rPr>
                  <w:b/>
                  <w:bCs/>
                  <w:noProof w:val="0"/>
                  <w:sz w:val="26"/>
                  <w:szCs w:val="26"/>
                  <w:rtl/>
                </w:rPr>
                <w:t>א</w:t>
              </w:r>
              <w:r w:rsidR="006D1BD0">
                <w:rPr>
                  <w:rFonts w:hint="cs"/>
                  <w:b/>
                  <w:bCs/>
                  <w:noProof w:val="0"/>
                  <w:sz w:val="26"/>
                  <w:szCs w:val="26"/>
                  <w:rtl/>
                </w:rPr>
                <w:t>'</w:t>
              </w:r>
              <w:r w:rsidR="00F626CB">
                <w:rPr>
                  <w:b/>
                  <w:bCs/>
                  <w:noProof w:val="0"/>
                  <w:sz w:val="26"/>
                  <w:szCs w:val="26"/>
                  <w:rtl/>
                </w:rPr>
                <w:t xml:space="preserve"> ואח' נ' פרקליטות מחוז דרום - אזרחי ואח'</w:t>
              </w:r>
            </w:sdtContent>
          </w:sdt>
        </w:p>
        <w:p w:rsidR="00F626CB" w:rsidRDefault="00F626CB" w:rsidP="00F626CB">
          <w:pPr>
            <w:rPr>
              <w:b/>
              <w:bCs/>
              <w:noProof w:val="0"/>
              <w:sz w:val="2"/>
              <w:szCs w:val="2"/>
              <w:rtl/>
            </w:rPr>
          </w:pPr>
        </w:p>
        <w:p w:rsidR="00F626CB" w:rsidRDefault="00F626CB" w:rsidP="00F626CB">
          <w:pPr>
            <w:rPr>
              <w:b/>
              <w:bCs/>
              <w:noProof w:val="0"/>
              <w:sz w:val="26"/>
              <w:szCs w:val="26"/>
              <w:rtl/>
            </w:rPr>
          </w:pPr>
          <w:r>
            <w:rPr>
              <w:b/>
              <w:bCs/>
              <w:noProof w:val="0"/>
              <w:sz w:val="26"/>
              <w:szCs w:val="26"/>
              <w:rtl/>
            </w:rPr>
            <w:t xml:space="preserve"> </w:t>
          </w:r>
        </w:p>
        <w:p w:rsidR="00F626CB" w:rsidRDefault="00F626CB" w:rsidP="00F626CB">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sdt>
              <w:r>
                <w:rPr>
                  <w:sz w:val="20"/>
                  <w:szCs w:val="20"/>
                  <w:rtl/>
                </w:rPr>
                <w:t xml:space="preserve"> </w:t>
              </w:r>
            </w:sdtContent>
          </w:sdt>
          <w:r>
            <w:rPr>
              <w:sz w:val="20"/>
              <w:szCs w:val="20"/>
              <w:rtl/>
            </w:rPr>
            <w:t xml:space="preserve"> </w:t>
          </w:r>
        </w:p>
      </w:tc>
    </w:tr>
  </w:tbl>
  <w:p w:rsidR="0000787B" w:rsidRPr="00330799" w:rsidRDefault="001547A8"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8C75D21"/>
    <w:multiLevelType w:val="hybridMultilevel"/>
    <w:tmpl w:val="C4568B7A"/>
    <w:lvl w:ilvl="0" w:tplc="954ABF0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40D6F75"/>
    <w:multiLevelType w:val="hybridMultilevel"/>
    <w:tmpl w:val="837C98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547A8"/>
    <w:rsid w:val="001F032F"/>
    <w:rsid w:val="00204361"/>
    <w:rsid w:val="002B22EB"/>
    <w:rsid w:val="00310C88"/>
    <w:rsid w:val="00330799"/>
    <w:rsid w:val="00414D88"/>
    <w:rsid w:val="004204FE"/>
    <w:rsid w:val="00487C9F"/>
    <w:rsid w:val="004F4A8A"/>
    <w:rsid w:val="005C7A13"/>
    <w:rsid w:val="00671EB3"/>
    <w:rsid w:val="00675222"/>
    <w:rsid w:val="006A10DE"/>
    <w:rsid w:val="006D1BD0"/>
    <w:rsid w:val="006F2157"/>
    <w:rsid w:val="0075045D"/>
    <w:rsid w:val="00832ED3"/>
    <w:rsid w:val="00842AFF"/>
    <w:rsid w:val="00A30504"/>
    <w:rsid w:val="00A72A45"/>
    <w:rsid w:val="00B30A9F"/>
    <w:rsid w:val="00C1241C"/>
    <w:rsid w:val="00C827A6"/>
    <w:rsid w:val="00CB1E7A"/>
    <w:rsid w:val="00D62C22"/>
    <w:rsid w:val="00D76B8C"/>
    <w:rsid w:val="00DE7B10"/>
    <w:rsid w:val="00DF1F3E"/>
    <w:rsid w:val="00E44517"/>
    <w:rsid w:val="00EF29FA"/>
    <w:rsid w:val="00EF7B09"/>
    <w:rsid w:val="00F43693"/>
    <w:rsid w:val="00F626CB"/>
    <w:rsid w:val="00FA6458"/>
    <w:rsid w:val="00FB3F1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character" w:styleId="Hyperlink">
    <w:name w:val="Hyperlink"/>
    <w:basedOn w:val="a0"/>
    <w:uiPriority w:val="99"/>
    <w:semiHidden/>
    <w:unhideWhenUsed/>
    <w:rsid w:val="00F626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038725">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17939400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evo.co.il/case/6128302"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ECA1615EC604081BA2DD332206E1D96"/>
        <w:category>
          <w:name w:val="כללי"/>
          <w:gallery w:val="placeholder"/>
        </w:category>
        <w:types>
          <w:type w:val="bbPlcHdr"/>
        </w:types>
        <w:behaviors>
          <w:behavior w:val="content"/>
        </w:behaviors>
        <w:guid w:val="{16BD96E1-B184-4125-A2EB-44E1BABC8A4C}"/>
      </w:docPartPr>
      <w:docPartBody>
        <w:p w:rsidR="00C850FA" w:rsidRDefault="00B80AA7" w:rsidP="00B80AA7">
          <w:pPr>
            <w:pStyle w:val="6ECA1615EC604081BA2DD332206E1D96"/>
          </w:pPr>
          <w:r>
            <w:rPr>
              <w:rFonts w:ascii="Arial" w:hAnsi="Arial"/>
              <w:b/>
              <w:bCs/>
              <w:sz w:val="26"/>
              <w:szCs w:val="26"/>
              <w:rtl/>
            </w:rPr>
            <w:t>סוג זיהוי צד א'</w:t>
          </w:r>
        </w:p>
      </w:docPartBody>
    </w:docPart>
    <w:docPart>
      <w:docPartPr>
        <w:name w:val="3E843EEF84E149F3AA0EEAD04F264B8F"/>
        <w:category>
          <w:name w:val="כללי"/>
          <w:gallery w:val="placeholder"/>
        </w:category>
        <w:types>
          <w:type w:val="bbPlcHdr"/>
        </w:types>
        <w:behaviors>
          <w:behavior w:val="content"/>
        </w:behaviors>
        <w:guid w:val="{67415AC8-042F-4394-8BA3-DA0C656B86AF}"/>
      </w:docPartPr>
      <w:docPartBody>
        <w:p w:rsidR="00C850FA" w:rsidRDefault="00B80AA7" w:rsidP="00B80AA7">
          <w:pPr>
            <w:pStyle w:val="3E843EEF84E149F3AA0EEAD04F264B8F"/>
          </w:pPr>
          <w:r>
            <w:rPr>
              <w:rFonts w:ascii="Arial" w:hAnsi="Arial"/>
              <w:b/>
              <w:bCs/>
              <w:sz w:val="26"/>
              <w:szCs w:val="26"/>
              <w:rtl/>
            </w:rPr>
            <w:t>סוג זיהוי צד ב'</w:t>
          </w:r>
        </w:p>
      </w:docPartBody>
    </w:docPart>
    <w:docPart>
      <w:docPartPr>
        <w:name w:val="74047E51A85A467296BF1B095C503698"/>
        <w:category>
          <w:name w:val="כללי"/>
          <w:gallery w:val="placeholder"/>
        </w:category>
        <w:types>
          <w:type w:val="bbPlcHdr"/>
        </w:types>
        <w:behaviors>
          <w:behavior w:val="content"/>
        </w:behaviors>
        <w:guid w:val="{0A6596BE-4B3F-4F6F-867C-89A1A1551F1B}"/>
      </w:docPartPr>
      <w:docPartBody>
        <w:p w:rsidR="00C850FA" w:rsidRDefault="00B80AA7" w:rsidP="00B80AA7">
          <w:pPr>
            <w:pStyle w:val="74047E51A85A467296BF1B095C503698"/>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114FC1"/>
    <w:rsid w:val="00AA5415"/>
    <w:rsid w:val="00B80AA7"/>
    <w:rsid w:val="00C850FA"/>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B80AA7"/>
  </w:style>
  <w:style w:type="paragraph" w:customStyle="1" w:styleId="AA84A2823C0B45FBAD1A35D5ED710CA8">
    <w:name w:val="AA84A2823C0B45FBAD1A35D5ED710CA8"/>
    <w:rsid w:val="00F94841"/>
    <w:pPr>
      <w:bidi/>
    </w:pPr>
  </w:style>
  <w:style w:type="paragraph" w:customStyle="1" w:styleId="6ECA1615EC604081BA2DD332206E1D96">
    <w:name w:val="6ECA1615EC604081BA2DD332206E1D96"/>
    <w:rsid w:val="00B80AA7"/>
    <w:pPr>
      <w:bidi/>
    </w:pPr>
  </w:style>
  <w:style w:type="paragraph" w:customStyle="1" w:styleId="0B9E94ACE3B24D4CA9F2BAFE63BFC9D7">
    <w:name w:val="0B9E94ACE3B24D4CA9F2BAFE63BFC9D7"/>
    <w:rsid w:val="00B80AA7"/>
    <w:pPr>
      <w:bidi/>
    </w:pPr>
  </w:style>
  <w:style w:type="paragraph" w:customStyle="1" w:styleId="3E843EEF84E149F3AA0EEAD04F264B8F">
    <w:name w:val="3E843EEF84E149F3AA0EEAD04F264B8F"/>
    <w:rsid w:val="00B80AA7"/>
    <w:pPr>
      <w:bidi/>
    </w:pPr>
  </w:style>
  <w:style w:type="paragraph" w:customStyle="1" w:styleId="250A9513DFF24E6D814AA81B0141B7D1">
    <w:name w:val="250A9513DFF24E6D814AA81B0141B7D1"/>
    <w:rsid w:val="00B80AA7"/>
    <w:pPr>
      <w:bidi/>
    </w:pPr>
  </w:style>
  <w:style w:type="paragraph" w:customStyle="1" w:styleId="74047E51A85A467296BF1B095C503698">
    <w:name w:val="74047E51A85A467296BF1B095C503698"/>
    <w:rsid w:val="00B80AA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2626</Words>
  <Characters>13135</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2024-08-18T05:41:00Z</dcterms:created>
  <dcterms:modified xsi:type="dcterms:W3CDTF">2024-08-18T05:41:00Z</dcterms:modified>
</cp:coreProperties>
</file>